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 w:hAnsi="仿宋" w:eastAsia="仿宋" w:cs="仿宋"/>
          <w:b/>
          <w:sz w:val="32"/>
          <w:szCs w:val="32"/>
        </w:rPr>
      </w:pPr>
      <w:r>
        <w:rPr>
          <w:rFonts w:hint="eastAsia" w:ascii="仿宋" w:hAnsi="仿宋" w:eastAsia="仿宋" w:cs="仿宋"/>
          <w:b/>
          <w:sz w:val="32"/>
          <w:szCs w:val="32"/>
        </w:rPr>
        <w:t>附件2：</w:t>
      </w:r>
    </w:p>
    <w:p>
      <w:pPr>
        <w:spacing w:line="445" w:lineRule="exact"/>
        <w:ind w:right="-13"/>
        <w:jc w:val="center"/>
        <w:rPr>
          <w:rFonts w:ascii="仿宋" w:hAnsi="仿宋" w:eastAsia="仿宋" w:cs="仿宋"/>
          <w:b/>
          <w:sz w:val="32"/>
          <w:szCs w:val="32"/>
        </w:rPr>
      </w:pPr>
      <w:r>
        <w:rPr>
          <w:rFonts w:hint="eastAsia" w:ascii="仿宋" w:hAnsi="仿宋" w:eastAsia="仿宋" w:cs="仿宋"/>
          <w:b/>
          <w:sz w:val="32"/>
          <w:szCs w:val="32"/>
        </w:rPr>
        <w:t>2018 年中国技能大赛“三一杯”</w:t>
      </w:r>
    </w:p>
    <w:p>
      <w:pPr>
        <w:spacing w:line="445" w:lineRule="exact"/>
        <w:ind w:right="-13"/>
        <w:jc w:val="center"/>
        <w:rPr>
          <w:rFonts w:ascii="仿宋" w:hAnsi="仿宋" w:eastAsia="仿宋" w:cs="仿宋"/>
          <w:b/>
          <w:sz w:val="32"/>
          <w:szCs w:val="32"/>
        </w:rPr>
      </w:pPr>
      <w:r>
        <w:rPr>
          <w:rFonts w:hint="eastAsia" w:ascii="仿宋" w:hAnsi="仿宋" w:eastAsia="仿宋" w:cs="仿宋"/>
          <w:b/>
          <w:sz w:val="32"/>
          <w:szCs w:val="32"/>
        </w:rPr>
        <w:t>首届全国装配式建筑职业技能竞赛湖南赛区预赛</w:t>
      </w:r>
    </w:p>
    <w:p>
      <w:pPr>
        <w:spacing w:line="445" w:lineRule="exact"/>
        <w:ind w:right="-13"/>
        <w:jc w:val="center"/>
        <w:rPr>
          <w:rFonts w:ascii="仿宋" w:hAnsi="仿宋" w:eastAsia="仿宋" w:cs="仿宋"/>
          <w:b/>
          <w:sz w:val="32"/>
          <w:szCs w:val="32"/>
        </w:rPr>
      </w:pPr>
      <w:r>
        <w:rPr>
          <w:rFonts w:hint="eastAsia" w:ascii="仿宋" w:hAnsi="仿宋" w:eastAsia="仿宋" w:cs="仿宋"/>
          <w:b/>
          <w:sz w:val="32"/>
          <w:szCs w:val="32"/>
        </w:rPr>
        <w:t>竞赛方案</w:t>
      </w:r>
    </w:p>
    <w:p>
      <w:pPr>
        <w:rPr>
          <w:rFonts w:ascii="仿宋" w:hAnsi="仿宋" w:eastAsia="仿宋" w:cs="仿宋"/>
          <w:sz w:val="32"/>
          <w:szCs w:val="32"/>
        </w:rPr>
      </w:pPr>
    </w:p>
    <w:p>
      <w:pPr>
        <w:pStyle w:val="13"/>
        <w:rPr>
          <w:rFonts w:ascii="仿宋" w:hAnsi="仿宋" w:eastAsia="仿宋" w:cs="仿宋"/>
          <w:b/>
          <w:sz w:val="32"/>
          <w:szCs w:val="32"/>
        </w:rPr>
      </w:pPr>
      <w:r>
        <w:rPr>
          <w:rFonts w:hint="eastAsia" w:ascii="仿宋" w:hAnsi="仿宋" w:eastAsia="仿宋" w:cs="仿宋"/>
          <w:b/>
          <w:sz w:val="32"/>
          <w:szCs w:val="32"/>
        </w:rPr>
        <w:t>一、竞赛考核技能</w:t>
      </w:r>
    </w:p>
    <w:p>
      <w:pPr>
        <w:pStyle w:val="12"/>
        <w:spacing w:line="360" w:lineRule="auto"/>
        <w:ind w:firstLine="640"/>
        <w:rPr>
          <w:rFonts w:ascii="仿宋" w:hAnsi="仿宋" w:eastAsia="仿宋" w:cs="仿宋"/>
          <w:sz w:val="32"/>
          <w:szCs w:val="32"/>
        </w:rPr>
      </w:pPr>
      <w:r>
        <w:rPr>
          <w:rFonts w:hint="eastAsia" w:ascii="仿宋" w:hAnsi="仿宋" w:eastAsia="仿宋" w:cs="仿宋"/>
          <w:sz w:val="32"/>
          <w:szCs w:val="32"/>
        </w:rPr>
        <w:t xml:space="preserve"> 装配式建筑职业技能</w:t>
      </w:r>
      <w:bookmarkStart w:id="3" w:name="_GoBack"/>
      <w:bookmarkEnd w:id="3"/>
      <w:r>
        <w:rPr>
          <w:rFonts w:hint="eastAsia" w:ascii="仿宋" w:hAnsi="仿宋" w:eastAsia="仿宋" w:cs="仿宋"/>
          <w:sz w:val="32"/>
          <w:szCs w:val="32"/>
        </w:rPr>
        <w:t>竞赛着重考核选手在装配式建筑岗位操作中掌握建筑专业的基本技能，主要包括：</w:t>
      </w:r>
    </w:p>
    <w:p>
      <w:pPr>
        <w:pStyle w:val="13"/>
        <w:ind w:firstLine="643" w:firstLineChars="200"/>
        <w:rPr>
          <w:rFonts w:ascii="仿宋" w:hAnsi="仿宋" w:eastAsia="仿宋" w:cs="仿宋"/>
          <w:sz w:val="32"/>
          <w:szCs w:val="32"/>
        </w:rPr>
      </w:pPr>
      <w:r>
        <w:rPr>
          <w:rFonts w:hint="eastAsia" w:ascii="仿宋" w:hAnsi="仿宋" w:eastAsia="仿宋" w:cs="仿宋"/>
          <w:b/>
          <w:sz w:val="32"/>
          <w:szCs w:val="32"/>
        </w:rPr>
        <w:t>1、识图能力</w:t>
      </w:r>
      <w:r>
        <w:rPr>
          <w:rFonts w:hint="eastAsia" w:ascii="仿宋" w:hAnsi="仿宋" w:eastAsia="仿宋" w:cs="仿宋"/>
          <w:sz w:val="32"/>
          <w:szCs w:val="32"/>
        </w:rPr>
        <w:t>：围绕模具准备和钢筋绑扎，能够对构件图纸进行正确识图。</w:t>
      </w:r>
    </w:p>
    <w:p>
      <w:pPr>
        <w:pStyle w:val="13"/>
        <w:ind w:firstLine="643" w:firstLineChars="200"/>
        <w:rPr>
          <w:rFonts w:ascii="仿宋" w:hAnsi="仿宋" w:eastAsia="仿宋" w:cs="仿宋"/>
          <w:sz w:val="32"/>
          <w:szCs w:val="32"/>
        </w:rPr>
      </w:pPr>
      <w:r>
        <w:rPr>
          <w:rFonts w:hint="eastAsia" w:ascii="仿宋" w:hAnsi="仿宋" w:eastAsia="仿宋" w:cs="仿宋"/>
          <w:b/>
          <w:sz w:val="32"/>
          <w:szCs w:val="32"/>
        </w:rPr>
        <w:t>2、测量能力</w:t>
      </w:r>
      <w:r>
        <w:rPr>
          <w:rFonts w:hint="eastAsia" w:ascii="仿宋" w:hAnsi="仿宋" w:eastAsia="仿宋" w:cs="仿宋"/>
          <w:sz w:val="32"/>
          <w:szCs w:val="32"/>
        </w:rPr>
        <w:t>：建筑工程测量技术在装配式构件吊装过程中的找平调直应用。</w:t>
      </w:r>
    </w:p>
    <w:p>
      <w:pPr>
        <w:pStyle w:val="13"/>
        <w:ind w:firstLine="643" w:firstLineChars="200"/>
        <w:rPr>
          <w:rFonts w:ascii="仿宋" w:hAnsi="仿宋" w:eastAsia="仿宋" w:cs="仿宋"/>
          <w:sz w:val="32"/>
          <w:szCs w:val="32"/>
        </w:rPr>
      </w:pPr>
      <w:r>
        <w:rPr>
          <w:rFonts w:hint="eastAsia" w:ascii="仿宋" w:hAnsi="仿宋" w:eastAsia="仿宋" w:cs="仿宋"/>
          <w:b/>
          <w:sz w:val="32"/>
          <w:szCs w:val="32"/>
        </w:rPr>
        <w:t>3、算量能力</w:t>
      </w:r>
      <w:r>
        <w:rPr>
          <w:rFonts w:hint="eastAsia" w:ascii="仿宋" w:hAnsi="仿宋" w:eastAsia="仿宋" w:cs="仿宋"/>
          <w:sz w:val="32"/>
          <w:szCs w:val="32"/>
        </w:rPr>
        <w:t>：根据图纸，能计算相应的构件所需要的原材料数量。</w:t>
      </w:r>
    </w:p>
    <w:p>
      <w:pPr>
        <w:pStyle w:val="13"/>
        <w:ind w:firstLine="643" w:firstLineChars="200"/>
        <w:rPr>
          <w:rFonts w:ascii="仿宋" w:hAnsi="仿宋" w:eastAsia="仿宋" w:cs="仿宋"/>
          <w:sz w:val="32"/>
          <w:szCs w:val="32"/>
        </w:rPr>
      </w:pPr>
      <w:r>
        <w:rPr>
          <w:rFonts w:hint="eastAsia" w:ascii="仿宋" w:hAnsi="仿宋" w:eastAsia="仿宋" w:cs="仿宋"/>
          <w:b/>
          <w:sz w:val="32"/>
          <w:szCs w:val="32"/>
        </w:rPr>
        <w:t>4、生产与施工组织</w:t>
      </w:r>
      <w:r>
        <w:rPr>
          <w:rFonts w:hint="eastAsia" w:ascii="仿宋" w:hAnsi="仿宋" w:eastAsia="仿宋" w:cs="仿宋"/>
          <w:sz w:val="32"/>
          <w:szCs w:val="32"/>
        </w:rPr>
        <w:t>：四个岗位协同完成任务，需要合理调配两名选手分工和工序，最大化地发挥每个选手的专业技能和工作效率。</w:t>
      </w:r>
    </w:p>
    <w:p>
      <w:pPr>
        <w:pStyle w:val="13"/>
        <w:ind w:right="-624" w:rightChars="-297" w:firstLine="591" w:firstLineChars="184"/>
        <w:rPr>
          <w:rFonts w:ascii="仿宋" w:hAnsi="仿宋" w:eastAsia="仿宋" w:cs="仿宋"/>
          <w:sz w:val="32"/>
          <w:szCs w:val="32"/>
        </w:rPr>
      </w:pPr>
      <w:r>
        <w:rPr>
          <w:rFonts w:hint="eastAsia" w:ascii="仿宋" w:hAnsi="仿宋" w:eastAsia="仿宋" w:cs="仿宋"/>
          <w:b/>
          <w:sz w:val="32"/>
          <w:szCs w:val="32"/>
        </w:rPr>
        <w:t>5、工法操作能力</w:t>
      </w:r>
      <w:r>
        <w:rPr>
          <w:rFonts w:hint="eastAsia" w:ascii="仿宋" w:hAnsi="仿宋" w:eastAsia="仿宋" w:cs="仿宋"/>
          <w:sz w:val="32"/>
          <w:szCs w:val="32"/>
        </w:rPr>
        <w:t>：运用理论知识分析计算完成后，按照工艺流程和工法要求完成操作，赛队考核：操作质量、成本控制、操作速度、安全事项；个人考核：工作量、工作质量、操作准确性、工况处理能力。</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6、</w:t>
      </w:r>
      <w:r>
        <w:rPr>
          <w:rFonts w:hint="eastAsia" w:ascii="仿宋" w:hAnsi="仿宋" w:eastAsia="仿宋" w:cs="仿宋"/>
          <w:b/>
          <w:color w:val="000000"/>
          <w:kern w:val="0"/>
          <w:sz w:val="32"/>
          <w:szCs w:val="32"/>
        </w:rPr>
        <w:t>协作能力</w:t>
      </w:r>
      <w:r>
        <w:rPr>
          <w:rFonts w:hint="eastAsia" w:ascii="仿宋" w:hAnsi="仿宋" w:eastAsia="仿宋" w:cs="仿宋"/>
          <w:color w:val="000000"/>
          <w:kern w:val="0"/>
          <w:sz w:val="32"/>
          <w:szCs w:val="32"/>
        </w:rPr>
        <w:t>：考核学生分工协作能力，每个工序与下一个工序具有衔接性，合理进行岗位分工可以提高工作效率、提升工作质量。</w:t>
      </w:r>
    </w:p>
    <w:p>
      <w:pPr>
        <w:autoSpaceDE w:val="0"/>
        <w:autoSpaceDN w:val="0"/>
        <w:adjustRightInd w:val="0"/>
        <w:ind w:firstLine="640" w:firstLineChars="200"/>
        <w:jc w:val="left"/>
        <w:rPr>
          <w:rFonts w:ascii="仿宋" w:hAnsi="仿宋" w:eastAsia="仿宋" w:cs="仿宋"/>
          <w:color w:val="000000"/>
          <w:kern w:val="0"/>
          <w:sz w:val="32"/>
          <w:szCs w:val="32"/>
        </w:rPr>
      </w:pPr>
    </w:p>
    <w:p>
      <w:pPr>
        <w:pStyle w:val="13"/>
        <w:rPr>
          <w:rFonts w:ascii="仿宋" w:hAnsi="仿宋" w:eastAsia="仿宋" w:cs="仿宋"/>
          <w:b/>
          <w:sz w:val="32"/>
          <w:szCs w:val="32"/>
        </w:rPr>
      </w:pPr>
      <w:bookmarkStart w:id="0" w:name="_Toc527626845"/>
      <w:r>
        <w:rPr>
          <w:rFonts w:hint="eastAsia" w:ascii="仿宋" w:hAnsi="仿宋" w:eastAsia="仿宋" w:cs="仿宋"/>
          <w:b/>
          <w:sz w:val="32"/>
          <w:szCs w:val="32"/>
        </w:rPr>
        <w:t>二、竞赛方案设计</w:t>
      </w:r>
      <w:bookmarkEnd w:id="0"/>
    </w:p>
    <w:p>
      <w:pPr>
        <w:ind w:firstLine="321" w:firstLineChars="100"/>
        <w:rPr>
          <w:rFonts w:ascii="仿宋" w:hAnsi="仿宋" w:eastAsia="仿宋" w:cs="仿宋"/>
          <w:b/>
          <w:sz w:val="32"/>
          <w:szCs w:val="32"/>
        </w:rPr>
      </w:pPr>
      <w:bookmarkStart w:id="1" w:name="_Toc527626846"/>
      <w:r>
        <w:rPr>
          <w:rFonts w:hint="eastAsia" w:ascii="仿宋" w:hAnsi="仿宋" w:eastAsia="仿宋" w:cs="仿宋"/>
          <w:b/>
          <w:sz w:val="32"/>
          <w:szCs w:val="32"/>
        </w:rPr>
        <w:t>（一）竞赛内容</w:t>
      </w:r>
      <w:bookmarkEnd w:id="1"/>
    </w:p>
    <w:p>
      <w:pPr>
        <w:autoSpaceDE w:val="0"/>
        <w:autoSpaceDN w:val="0"/>
        <w:adjustRightInd w:val="0"/>
        <w:jc w:val="left"/>
        <w:rPr>
          <w:rFonts w:ascii="仿宋" w:hAnsi="仿宋" w:eastAsia="仿宋" w:cs="仿宋"/>
          <w:kern w:val="0"/>
          <w:sz w:val="32"/>
          <w:szCs w:val="32"/>
        </w:rPr>
      </w:pPr>
      <w:r>
        <w:rPr>
          <w:rFonts w:hint="eastAsia" w:ascii="仿宋" w:hAnsi="仿宋" w:eastAsia="仿宋" w:cs="仿宋"/>
          <w:color w:val="000000"/>
          <w:kern w:val="0"/>
          <w:sz w:val="32"/>
          <w:szCs w:val="32"/>
        </w:rPr>
        <w:t xml:space="preserve">     竞赛分为理论知识（30%）和实际操作仿真（70%）两大部分，赛时及</w:t>
      </w:r>
      <w:r>
        <w:rPr>
          <w:rFonts w:hint="eastAsia" w:ascii="仿宋" w:hAnsi="仿宋" w:eastAsia="仿宋" w:cs="仿宋"/>
          <w:kern w:val="0"/>
          <w:sz w:val="32"/>
          <w:szCs w:val="32"/>
        </w:rPr>
        <w:t>分值比例如下表所示。</w:t>
      </w:r>
    </w:p>
    <w:p>
      <w:pPr>
        <w:jc w:val="center"/>
        <w:rPr>
          <w:rFonts w:ascii="仿宋" w:hAnsi="仿宋" w:eastAsia="仿宋" w:cs="仿宋"/>
          <w:b/>
          <w:sz w:val="32"/>
          <w:szCs w:val="32"/>
        </w:rPr>
      </w:pPr>
      <w:bookmarkStart w:id="2" w:name="_Toc527626851"/>
      <w:r>
        <w:rPr>
          <w:rFonts w:hint="eastAsia" w:ascii="仿宋" w:hAnsi="仿宋" w:eastAsia="仿宋" w:cs="仿宋"/>
          <w:b/>
          <w:sz w:val="32"/>
          <w:szCs w:val="32"/>
        </w:rPr>
        <w:t>赛时及分值比例</w:t>
      </w:r>
      <w:bookmarkEnd w:id="2"/>
      <w:r>
        <w:rPr>
          <w:rFonts w:hint="eastAsia" w:ascii="仿宋" w:hAnsi="仿宋" w:eastAsia="仿宋" w:cs="仿宋"/>
          <w:b/>
          <w:sz w:val="32"/>
          <w:szCs w:val="32"/>
        </w:rPr>
        <w:t>表</w:t>
      </w:r>
    </w:p>
    <w:tbl>
      <w:tblPr>
        <w:tblStyle w:val="8"/>
        <w:tblW w:w="7661" w:type="dxa"/>
        <w:jc w:val="center"/>
        <w:tblInd w:w="0" w:type="dxa"/>
        <w:tblLayout w:type="fixed"/>
        <w:tblCellMar>
          <w:top w:w="0" w:type="dxa"/>
          <w:left w:w="108" w:type="dxa"/>
          <w:bottom w:w="0" w:type="dxa"/>
          <w:right w:w="108" w:type="dxa"/>
        </w:tblCellMar>
      </w:tblPr>
      <w:tblGrid>
        <w:gridCol w:w="1555"/>
        <w:gridCol w:w="1134"/>
        <w:gridCol w:w="1842"/>
        <w:gridCol w:w="1571"/>
        <w:gridCol w:w="1559"/>
      </w:tblGrid>
      <w:tr>
        <w:tblPrEx>
          <w:tblLayout w:type="fixed"/>
          <w:tblCellMar>
            <w:top w:w="0" w:type="dxa"/>
            <w:left w:w="108" w:type="dxa"/>
            <w:bottom w:w="0" w:type="dxa"/>
            <w:right w:w="108" w:type="dxa"/>
          </w:tblCellMar>
        </w:tblPrEx>
        <w:trPr>
          <w:trHeight w:val="817" w:hRule="atLeast"/>
          <w:jc w:val="center"/>
        </w:trPr>
        <w:tc>
          <w:tcPr>
            <w:tcW w:w="4531" w:type="dxa"/>
            <w:gridSpan w:val="3"/>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 w:hAnsi="仿宋" w:eastAsia="仿宋" w:cs="仿宋"/>
                <w:b/>
                <w:bCs/>
                <w:kern w:val="0"/>
                <w:sz w:val="32"/>
                <w:szCs w:val="32"/>
              </w:rPr>
            </w:pPr>
            <w:r>
              <w:rPr>
                <w:rFonts w:hint="eastAsia" w:ascii="仿宋" w:hAnsi="仿宋" w:eastAsia="仿宋" w:cs="仿宋"/>
                <w:b/>
                <w:bCs/>
                <w:kern w:val="0"/>
                <w:sz w:val="32"/>
                <w:szCs w:val="32"/>
              </w:rPr>
              <w:t>竞赛内容（任务）</w:t>
            </w:r>
          </w:p>
        </w:tc>
        <w:tc>
          <w:tcPr>
            <w:tcW w:w="1571" w:type="dxa"/>
            <w:tcBorders>
              <w:top w:val="single" w:color="auto" w:sz="4" w:space="0"/>
              <w:left w:val="nil"/>
              <w:bottom w:val="single" w:color="auto" w:sz="4" w:space="0"/>
              <w:right w:val="single" w:color="auto" w:sz="4" w:space="0"/>
            </w:tcBorders>
            <w:vAlign w:val="center"/>
          </w:tcPr>
          <w:p>
            <w:pPr>
              <w:snapToGrid w:val="0"/>
              <w:spacing w:before="156" w:beforeLines="50"/>
              <w:jc w:val="center"/>
              <w:rPr>
                <w:rFonts w:ascii="仿宋" w:hAnsi="仿宋" w:eastAsia="仿宋" w:cs="仿宋"/>
                <w:b/>
                <w:bCs/>
                <w:kern w:val="0"/>
                <w:sz w:val="32"/>
                <w:szCs w:val="32"/>
              </w:rPr>
            </w:pPr>
            <w:r>
              <w:rPr>
                <w:rFonts w:hint="eastAsia" w:ascii="仿宋" w:hAnsi="仿宋" w:eastAsia="仿宋" w:cs="仿宋"/>
                <w:b/>
                <w:bCs/>
                <w:kern w:val="0"/>
                <w:sz w:val="32"/>
                <w:szCs w:val="32"/>
              </w:rPr>
              <w:t>分值比例</w:t>
            </w:r>
          </w:p>
        </w:tc>
        <w:tc>
          <w:tcPr>
            <w:tcW w:w="1559" w:type="dxa"/>
            <w:tcBorders>
              <w:top w:val="single" w:color="auto" w:sz="4" w:space="0"/>
              <w:left w:val="nil"/>
              <w:bottom w:val="single" w:color="auto" w:sz="4" w:space="0"/>
              <w:right w:val="single" w:color="auto" w:sz="4" w:space="0"/>
            </w:tcBorders>
            <w:vAlign w:val="center"/>
          </w:tcPr>
          <w:p>
            <w:pPr>
              <w:snapToGrid w:val="0"/>
              <w:spacing w:before="156" w:beforeLines="50"/>
              <w:jc w:val="center"/>
              <w:rPr>
                <w:rFonts w:ascii="仿宋" w:hAnsi="仿宋" w:eastAsia="仿宋" w:cs="仿宋"/>
                <w:b/>
                <w:bCs/>
                <w:kern w:val="0"/>
                <w:sz w:val="32"/>
                <w:szCs w:val="32"/>
              </w:rPr>
            </w:pPr>
            <w:r>
              <w:rPr>
                <w:rFonts w:hint="eastAsia" w:ascii="仿宋" w:hAnsi="仿宋" w:eastAsia="仿宋" w:cs="仿宋"/>
                <w:b/>
                <w:bCs/>
                <w:kern w:val="0"/>
                <w:sz w:val="32"/>
                <w:szCs w:val="32"/>
              </w:rPr>
              <w:t>比赛时间</w:t>
            </w:r>
          </w:p>
        </w:tc>
      </w:tr>
      <w:tr>
        <w:tblPrEx>
          <w:tblLayout w:type="fixed"/>
          <w:tblCellMar>
            <w:top w:w="0" w:type="dxa"/>
            <w:left w:w="108" w:type="dxa"/>
            <w:bottom w:w="0" w:type="dxa"/>
            <w:right w:w="108" w:type="dxa"/>
          </w:tblCellMar>
        </w:tblPrEx>
        <w:trPr>
          <w:trHeight w:val="725" w:hRule="atLeast"/>
          <w:jc w:val="center"/>
        </w:trPr>
        <w:tc>
          <w:tcPr>
            <w:tcW w:w="4531"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理论知识</w:t>
            </w:r>
          </w:p>
        </w:tc>
        <w:tc>
          <w:tcPr>
            <w:tcW w:w="157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30%</w:t>
            </w:r>
          </w:p>
        </w:tc>
        <w:tc>
          <w:tcPr>
            <w:tcW w:w="1559"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60分钟</w:t>
            </w:r>
          </w:p>
        </w:tc>
      </w:tr>
      <w:tr>
        <w:tblPrEx>
          <w:tblLayout w:type="fixed"/>
          <w:tblCellMar>
            <w:top w:w="0" w:type="dxa"/>
            <w:left w:w="108" w:type="dxa"/>
            <w:bottom w:w="0" w:type="dxa"/>
            <w:right w:w="108" w:type="dxa"/>
          </w:tblCellMar>
        </w:tblPrEx>
        <w:trPr>
          <w:trHeight w:val="570" w:hRule="atLeast"/>
          <w:jc w:val="center"/>
        </w:trPr>
        <w:tc>
          <w:tcPr>
            <w:tcW w:w="1555" w:type="dxa"/>
            <w:vMerge w:val="restart"/>
            <w:tcBorders>
              <w:top w:val="nil"/>
              <w:left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实际操作仿真</w:t>
            </w:r>
          </w:p>
        </w:tc>
        <w:tc>
          <w:tcPr>
            <w:tcW w:w="1134" w:type="dxa"/>
            <w:vMerge w:val="restart"/>
            <w:tcBorders>
              <w:top w:val="single" w:color="auto" w:sz="4" w:space="0"/>
              <w:left w:val="nil"/>
              <w:right w:val="single" w:color="auto" w:sz="4" w:space="0"/>
            </w:tcBorders>
            <w:vAlign w:val="center"/>
          </w:tcPr>
          <w:p>
            <w:pPr>
              <w:pStyle w:val="13"/>
              <w:jc w:val="center"/>
              <w:rPr>
                <w:rFonts w:ascii="仿宋" w:hAnsi="仿宋" w:eastAsia="仿宋" w:cs="仿宋"/>
                <w:sz w:val="32"/>
                <w:szCs w:val="32"/>
              </w:rPr>
            </w:pPr>
            <w:r>
              <w:rPr>
                <w:rFonts w:hint="eastAsia" w:ascii="仿宋" w:hAnsi="仿宋" w:eastAsia="仿宋" w:cs="仿宋"/>
                <w:sz w:val="32"/>
                <w:szCs w:val="32"/>
              </w:rPr>
              <w:t xml:space="preserve">混凝土构件制作 </w:t>
            </w:r>
          </w:p>
        </w:tc>
        <w:tc>
          <w:tcPr>
            <w:tcW w:w="1842"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模具准备</w:t>
            </w:r>
          </w:p>
        </w:tc>
        <w:tc>
          <w:tcPr>
            <w:tcW w:w="1571" w:type="dxa"/>
            <w:vMerge w:val="restart"/>
            <w:tcBorders>
              <w:top w:val="single" w:color="auto" w:sz="4" w:space="0"/>
              <w:left w:val="nil"/>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70%</w:t>
            </w:r>
          </w:p>
        </w:tc>
        <w:tc>
          <w:tcPr>
            <w:tcW w:w="1559" w:type="dxa"/>
            <w:vMerge w:val="restart"/>
            <w:tcBorders>
              <w:top w:val="single" w:color="auto" w:sz="4" w:space="0"/>
              <w:left w:val="nil"/>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color w:val="000000" w:themeColor="text1"/>
                <w:kern w:val="0"/>
                <w:sz w:val="32"/>
                <w:szCs w:val="32"/>
                <w14:textFill>
                  <w14:solidFill>
                    <w14:schemeClr w14:val="tx1"/>
                  </w14:solidFill>
                </w14:textFill>
              </w:rPr>
              <w:t>90分</w:t>
            </w:r>
            <w:r>
              <w:rPr>
                <w:rFonts w:hint="eastAsia" w:ascii="仿宋" w:hAnsi="仿宋" w:eastAsia="仿宋" w:cs="仿宋"/>
                <w:kern w:val="0"/>
                <w:sz w:val="32"/>
                <w:szCs w:val="32"/>
              </w:rPr>
              <w:t>钟</w:t>
            </w:r>
          </w:p>
        </w:tc>
      </w:tr>
      <w:tr>
        <w:tblPrEx>
          <w:tblLayout w:type="fixed"/>
          <w:tblCellMar>
            <w:top w:w="0" w:type="dxa"/>
            <w:left w:w="108" w:type="dxa"/>
            <w:bottom w:w="0" w:type="dxa"/>
            <w:right w:w="108" w:type="dxa"/>
          </w:tblCellMar>
        </w:tblPrEx>
        <w:trPr>
          <w:trHeight w:val="552" w:hRule="atLeast"/>
          <w:jc w:val="center"/>
        </w:trPr>
        <w:tc>
          <w:tcPr>
            <w:tcW w:w="1555" w:type="dxa"/>
            <w:vMerge w:val="continue"/>
            <w:tcBorders>
              <w:left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134" w:type="dxa"/>
            <w:vMerge w:val="continue"/>
            <w:tcBorders>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p>
        </w:tc>
        <w:tc>
          <w:tcPr>
            <w:tcW w:w="1842"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混凝土浇筑</w:t>
            </w:r>
          </w:p>
        </w:tc>
        <w:tc>
          <w:tcPr>
            <w:tcW w:w="1571" w:type="dxa"/>
            <w:vMerge w:val="continue"/>
            <w:tcBorders>
              <w:left w:val="nil"/>
              <w:right w:val="single" w:color="auto" w:sz="4" w:space="0"/>
            </w:tcBorders>
            <w:vAlign w:val="center"/>
          </w:tcPr>
          <w:p>
            <w:pPr>
              <w:snapToGrid w:val="0"/>
              <w:jc w:val="center"/>
              <w:rPr>
                <w:rFonts w:ascii="仿宋" w:hAnsi="仿宋" w:eastAsia="仿宋" w:cs="仿宋"/>
                <w:kern w:val="0"/>
                <w:sz w:val="32"/>
                <w:szCs w:val="32"/>
              </w:rPr>
            </w:pPr>
          </w:p>
        </w:tc>
        <w:tc>
          <w:tcPr>
            <w:tcW w:w="1559" w:type="dxa"/>
            <w:vMerge w:val="continue"/>
            <w:tcBorders>
              <w:left w:val="nil"/>
              <w:right w:val="single" w:color="auto" w:sz="4" w:space="0"/>
            </w:tcBorders>
            <w:vAlign w:val="center"/>
          </w:tcPr>
          <w:p>
            <w:pPr>
              <w:widowControl/>
              <w:jc w:val="left"/>
              <w:rPr>
                <w:rFonts w:ascii="仿宋" w:hAnsi="仿宋" w:eastAsia="仿宋" w:cs="仿宋"/>
                <w:kern w:val="0"/>
                <w:sz w:val="32"/>
                <w:szCs w:val="32"/>
              </w:rPr>
            </w:pPr>
          </w:p>
        </w:tc>
      </w:tr>
      <w:tr>
        <w:tblPrEx>
          <w:tblLayout w:type="fixed"/>
          <w:tblCellMar>
            <w:top w:w="0" w:type="dxa"/>
            <w:left w:w="108" w:type="dxa"/>
            <w:bottom w:w="0" w:type="dxa"/>
            <w:right w:w="108" w:type="dxa"/>
          </w:tblCellMar>
        </w:tblPrEx>
        <w:trPr>
          <w:trHeight w:val="552" w:hRule="atLeast"/>
          <w:jc w:val="center"/>
        </w:trPr>
        <w:tc>
          <w:tcPr>
            <w:tcW w:w="1555" w:type="dxa"/>
            <w:vMerge w:val="continue"/>
            <w:tcBorders>
              <w:left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2976" w:type="dxa"/>
            <w:gridSpan w:val="2"/>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混凝土构件吊装</w:t>
            </w:r>
          </w:p>
        </w:tc>
        <w:tc>
          <w:tcPr>
            <w:tcW w:w="1571" w:type="dxa"/>
            <w:vMerge w:val="continue"/>
            <w:tcBorders>
              <w:left w:val="nil"/>
              <w:right w:val="single" w:color="auto" w:sz="4" w:space="0"/>
            </w:tcBorders>
            <w:vAlign w:val="center"/>
          </w:tcPr>
          <w:p>
            <w:pPr>
              <w:snapToGrid w:val="0"/>
              <w:jc w:val="center"/>
              <w:rPr>
                <w:rFonts w:ascii="仿宋" w:hAnsi="仿宋" w:eastAsia="仿宋" w:cs="仿宋"/>
                <w:kern w:val="0"/>
                <w:sz w:val="32"/>
                <w:szCs w:val="32"/>
              </w:rPr>
            </w:pPr>
          </w:p>
        </w:tc>
        <w:tc>
          <w:tcPr>
            <w:tcW w:w="1559" w:type="dxa"/>
            <w:vMerge w:val="continue"/>
            <w:tcBorders>
              <w:left w:val="nil"/>
              <w:right w:val="single" w:color="auto" w:sz="4" w:space="0"/>
            </w:tcBorders>
            <w:vAlign w:val="center"/>
          </w:tcPr>
          <w:p>
            <w:pPr>
              <w:widowControl/>
              <w:jc w:val="left"/>
              <w:rPr>
                <w:rFonts w:ascii="仿宋" w:hAnsi="仿宋" w:eastAsia="仿宋" w:cs="仿宋"/>
                <w:kern w:val="0"/>
                <w:sz w:val="32"/>
                <w:szCs w:val="32"/>
              </w:rPr>
            </w:pPr>
          </w:p>
        </w:tc>
      </w:tr>
      <w:tr>
        <w:tblPrEx>
          <w:tblLayout w:type="fixed"/>
          <w:tblCellMar>
            <w:top w:w="0" w:type="dxa"/>
            <w:left w:w="108" w:type="dxa"/>
            <w:bottom w:w="0" w:type="dxa"/>
            <w:right w:w="108" w:type="dxa"/>
          </w:tblCellMar>
        </w:tblPrEx>
        <w:trPr>
          <w:trHeight w:val="552" w:hRule="atLeast"/>
          <w:jc w:val="center"/>
        </w:trPr>
        <w:tc>
          <w:tcPr>
            <w:tcW w:w="1555"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2976" w:type="dxa"/>
            <w:gridSpan w:val="2"/>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r>
              <w:rPr>
                <w:rFonts w:hint="eastAsia" w:ascii="仿宋" w:hAnsi="仿宋" w:eastAsia="仿宋" w:cs="仿宋"/>
                <w:kern w:val="0"/>
                <w:sz w:val="32"/>
                <w:szCs w:val="32"/>
              </w:rPr>
              <w:t>混凝土构件连接</w:t>
            </w:r>
          </w:p>
        </w:tc>
        <w:tc>
          <w:tcPr>
            <w:tcW w:w="1571" w:type="dxa"/>
            <w:vMerge w:val="continue"/>
            <w:tcBorders>
              <w:left w:val="nil"/>
              <w:bottom w:val="single" w:color="auto" w:sz="4" w:space="0"/>
              <w:right w:val="single" w:color="auto" w:sz="4" w:space="0"/>
            </w:tcBorders>
            <w:vAlign w:val="center"/>
          </w:tcPr>
          <w:p>
            <w:pPr>
              <w:snapToGrid w:val="0"/>
              <w:jc w:val="center"/>
              <w:rPr>
                <w:rFonts w:ascii="仿宋" w:hAnsi="仿宋" w:eastAsia="仿宋" w:cs="仿宋"/>
                <w:kern w:val="0"/>
                <w:sz w:val="32"/>
                <w:szCs w:val="32"/>
              </w:rPr>
            </w:pPr>
          </w:p>
        </w:tc>
        <w:tc>
          <w:tcPr>
            <w:tcW w:w="1559" w:type="dxa"/>
            <w:vMerge w:val="continue"/>
            <w:tcBorders>
              <w:left w:val="nil"/>
              <w:bottom w:val="single" w:color="auto" w:sz="4" w:space="0"/>
              <w:right w:val="single" w:color="auto" w:sz="4" w:space="0"/>
            </w:tcBorders>
            <w:vAlign w:val="center"/>
          </w:tcPr>
          <w:p>
            <w:pPr>
              <w:widowControl/>
              <w:jc w:val="left"/>
              <w:rPr>
                <w:rFonts w:ascii="仿宋" w:hAnsi="仿宋" w:eastAsia="仿宋" w:cs="仿宋"/>
                <w:kern w:val="0"/>
                <w:sz w:val="32"/>
                <w:szCs w:val="32"/>
              </w:rPr>
            </w:pPr>
          </w:p>
        </w:tc>
      </w:tr>
    </w:tbl>
    <w:p>
      <w:pPr>
        <w:autoSpaceDE w:val="0"/>
        <w:autoSpaceDN w:val="0"/>
        <w:adjustRightInd w:val="0"/>
        <w:ind w:left="105" w:leftChars="50"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w:t>
      </w:r>
      <w:r>
        <w:rPr>
          <w:rFonts w:hint="eastAsia" w:ascii="仿宋" w:hAnsi="仿宋" w:eastAsia="仿宋" w:cs="仿宋"/>
          <w:b/>
          <w:color w:val="000000"/>
          <w:kern w:val="0"/>
          <w:sz w:val="32"/>
          <w:szCs w:val="32"/>
        </w:rPr>
        <w:t>．理论知识竞赛</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本次理论知识竞赛为闭卷考试，均为客观题，题型分为：单项选择题、多项选择题。分值为每题1分，共100分。</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选手登录竞赛理论知识考核平台，在规定的时间内，独立进行答题，时间结束自动提交。</w:t>
      </w:r>
    </w:p>
    <w:p>
      <w:pPr>
        <w:pStyle w:val="13"/>
        <w:ind w:firstLine="643" w:firstLineChars="200"/>
        <w:rPr>
          <w:rFonts w:ascii="仿宋" w:hAnsi="仿宋" w:eastAsia="仿宋" w:cs="仿宋"/>
          <w:b/>
          <w:sz w:val="32"/>
          <w:szCs w:val="32"/>
        </w:rPr>
      </w:pPr>
      <w:r>
        <w:rPr>
          <w:rFonts w:hint="eastAsia" w:ascii="仿宋" w:hAnsi="仿宋" w:eastAsia="仿宋" w:cs="仿宋"/>
          <w:b/>
          <w:sz w:val="32"/>
          <w:szCs w:val="32"/>
        </w:rPr>
        <w:t>2. 实际操作仿真竞赛</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实际操作仿真竞赛的题目根据任务的数量和要求在竞赛实操考核平台上完成。</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参赛选手需在规定的时间内，独立或与其他选手合作完成以下四项任务：模具准备、构件浇筑、构件吊装和构件灌浆。</w:t>
      </w:r>
    </w:p>
    <w:p>
      <w:pPr>
        <w:autoSpaceDE w:val="0"/>
        <w:autoSpaceDN w:val="0"/>
        <w:adjustRightInd w:val="0"/>
        <w:ind w:firstLine="321" w:firstLineChars="1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（1）模具准备</w:t>
      </w:r>
    </w:p>
    <w:p>
      <w:pPr>
        <w:autoSpaceDE w:val="0"/>
        <w:autoSpaceDN w:val="0"/>
        <w:adjustRightInd w:val="0"/>
        <w:ind w:firstLine="640" w:firstLineChars="200"/>
        <w:jc w:val="left"/>
        <w:rPr>
          <w:rFonts w:ascii="仿宋" w:hAnsi="仿宋" w:eastAsia="仿宋" w:cs="仿宋"/>
          <w:b/>
          <w:color w:val="000000"/>
          <w:kern w:val="0"/>
          <w:sz w:val="32"/>
          <w:szCs w:val="32"/>
        </w:rPr>
      </w:pPr>
      <w:r>
        <w:rPr>
          <w:rFonts w:hint="eastAsia" w:ascii="仿宋" w:hAnsi="仿宋" w:eastAsia="仿宋" w:cs="仿宋"/>
          <w:sz w:val="32"/>
          <w:szCs w:val="32"/>
        </w:rPr>
        <w:t>参赛选手合作完成竞赛任务。</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选手选取竞赛任务，完成4个构件的模具准备工作。根据图纸在模具库中选取模具，在考核平台软件中根据工艺流程和工艺要求完成模具摆</w:t>
      </w:r>
      <w:r>
        <w:rPr>
          <w:rFonts w:hint="eastAsia" w:ascii="仿宋" w:hAnsi="仿宋" w:eastAsia="仿宋" w:cs="仿宋"/>
          <w:kern w:val="0"/>
          <w:sz w:val="32"/>
          <w:szCs w:val="32"/>
        </w:rPr>
        <w:t>放工作，在摆放过程中，考核选手对异常工况的处置能力和质量检验能力，验收完毕并提交。</w:t>
      </w:r>
    </w:p>
    <w:p>
      <w:pPr>
        <w:autoSpaceDE w:val="0"/>
        <w:autoSpaceDN w:val="0"/>
        <w:adjustRightInd w:val="0"/>
        <w:ind w:firstLine="321" w:firstLineChars="100"/>
        <w:jc w:val="left"/>
        <w:rPr>
          <w:rFonts w:ascii="仿宋" w:hAnsi="仿宋" w:eastAsia="仿宋" w:cs="仿宋"/>
          <w:b/>
          <w:kern w:val="0"/>
          <w:sz w:val="32"/>
          <w:szCs w:val="32"/>
        </w:rPr>
      </w:pPr>
      <w:r>
        <w:rPr>
          <w:rFonts w:hint="eastAsia" w:ascii="仿宋" w:hAnsi="仿宋" w:eastAsia="仿宋" w:cs="仿宋"/>
          <w:b/>
          <w:kern w:val="0"/>
          <w:sz w:val="32"/>
          <w:szCs w:val="32"/>
        </w:rPr>
        <w:t>（2）构件浇筑</w:t>
      </w:r>
    </w:p>
    <w:p>
      <w:pPr>
        <w:autoSpaceDE w:val="0"/>
        <w:autoSpaceDN w:val="0"/>
        <w:adjustRightInd w:val="0"/>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参赛选手合作完成竞赛任务。</w:t>
      </w:r>
    </w:p>
    <w:p>
      <w:pPr>
        <w:autoSpaceDE w:val="0"/>
        <w:autoSpaceDN w:val="0"/>
        <w:adjustRightInd w:val="0"/>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软件默认工艺流程的前置工序均已操作完成，选手使用上一环节的操作结果，根据交底选择混凝土型号，按照工艺流程和工艺要求，在竞赛设备——操作箱上进行混凝土浇筑的操作（3D场景，硬件操作），完成4个构件的浇筑。浇筑过程中，考核选手的异常工况处置能力、质量检验能力等，验收完毕并提交。</w:t>
      </w:r>
    </w:p>
    <w:p>
      <w:pPr>
        <w:autoSpaceDE w:val="0"/>
        <w:autoSpaceDN w:val="0"/>
        <w:adjustRightInd w:val="0"/>
        <w:ind w:firstLine="321" w:firstLineChars="100"/>
        <w:jc w:val="left"/>
        <w:rPr>
          <w:rFonts w:ascii="仿宋" w:hAnsi="仿宋" w:eastAsia="仿宋" w:cs="仿宋"/>
          <w:b/>
          <w:kern w:val="0"/>
          <w:sz w:val="32"/>
          <w:szCs w:val="32"/>
        </w:rPr>
      </w:pPr>
      <w:r>
        <w:rPr>
          <w:rFonts w:hint="eastAsia" w:ascii="仿宋" w:hAnsi="仿宋" w:eastAsia="仿宋" w:cs="仿宋"/>
          <w:b/>
          <w:kern w:val="0"/>
          <w:sz w:val="32"/>
          <w:szCs w:val="32"/>
        </w:rPr>
        <w:t>（3）构件吊装</w:t>
      </w:r>
    </w:p>
    <w:p>
      <w:pPr>
        <w:autoSpaceDE w:val="0"/>
        <w:autoSpaceDN w:val="0"/>
        <w:adjustRightInd w:val="0"/>
        <w:ind w:firstLine="480" w:firstLineChars="150"/>
        <w:jc w:val="left"/>
        <w:rPr>
          <w:rFonts w:ascii="仿宋" w:hAnsi="仿宋" w:eastAsia="仿宋" w:cs="仿宋"/>
          <w:kern w:val="0"/>
          <w:sz w:val="32"/>
          <w:szCs w:val="32"/>
        </w:rPr>
      </w:pPr>
      <w:r>
        <w:rPr>
          <w:rFonts w:hint="eastAsia" w:ascii="仿宋" w:hAnsi="仿宋" w:eastAsia="仿宋" w:cs="仿宋"/>
          <w:kern w:val="0"/>
          <w:sz w:val="32"/>
          <w:szCs w:val="32"/>
        </w:rPr>
        <w:t>参赛选手合作完成竞赛任务。</w:t>
      </w:r>
    </w:p>
    <w:p>
      <w:pPr>
        <w:autoSpaceDE w:val="0"/>
        <w:autoSpaceDN w:val="0"/>
        <w:adjustRightInd w:val="0"/>
        <w:ind w:firstLine="480" w:firstLineChars="150"/>
        <w:jc w:val="left"/>
        <w:rPr>
          <w:rFonts w:ascii="仿宋" w:hAnsi="仿宋" w:eastAsia="仿宋" w:cs="仿宋"/>
          <w:kern w:val="0"/>
          <w:sz w:val="32"/>
          <w:szCs w:val="32"/>
        </w:rPr>
      </w:pPr>
      <w:r>
        <w:rPr>
          <w:rFonts w:hint="eastAsia" w:ascii="仿宋" w:hAnsi="仿宋" w:eastAsia="仿宋" w:cs="仿宋"/>
          <w:kern w:val="0"/>
          <w:sz w:val="32"/>
          <w:szCs w:val="32"/>
        </w:rPr>
        <w:t>软件默认工艺流程的前置工序均已操作完成，选手使用上一环节的操作结果选取竞赛任务，完成共4个构件的吊装准备工作。根据准备工作，按照工艺流程和要求，在竞赛设备——操作箱上完成构件的吊装操作（3D场景、硬件操作）。操作过程考核选手的操作能力、质量检验能力等，验收完毕并提交。</w:t>
      </w:r>
    </w:p>
    <w:p>
      <w:pPr>
        <w:autoSpaceDE w:val="0"/>
        <w:autoSpaceDN w:val="0"/>
        <w:adjustRightInd w:val="0"/>
        <w:ind w:firstLine="321" w:firstLineChars="100"/>
        <w:jc w:val="left"/>
        <w:rPr>
          <w:rFonts w:ascii="仿宋" w:hAnsi="仿宋" w:eastAsia="仿宋" w:cs="仿宋"/>
          <w:b/>
          <w:kern w:val="0"/>
          <w:sz w:val="32"/>
          <w:szCs w:val="32"/>
        </w:rPr>
      </w:pPr>
      <w:r>
        <w:rPr>
          <w:rFonts w:hint="eastAsia" w:ascii="仿宋" w:hAnsi="仿宋" w:eastAsia="仿宋" w:cs="仿宋"/>
          <w:b/>
          <w:kern w:val="0"/>
          <w:sz w:val="32"/>
          <w:szCs w:val="32"/>
        </w:rPr>
        <w:t>（4）构件灌浆</w:t>
      </w:r>
    </w:p>
    <w:p>
      <w:pPr>
        <w:autoSpaceDE w:val="0"/>
        <w:autoSpaceDN w:val="0"/>
        <w:adjustRightInd w:val="0"/>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参赛选手合作完成竞赛任务。</w:t>
      </w:r>
    </w:p>
    <w:p>
      <w:pPr>
        <w:pStyle w:val="13"/>
        <w:ind w:firstLine="640" w:firstLineChars="200"/>
        <w:rPr>
          <w:rFonts w:ascii="仿宋" w:hAnsi="仿宋" w:eastAsia="仿宋" w:cs="仿宋"/>
          <w:sz w:val="32"/>
          <w:szCs w:val="32"/>
        </w:rPr>
      </w:pPr>
      <w:r>
        <w:rPr>
          <w:rFonts w:hint="eastAsia" w:ascii="仿宋" w:hAnsi="仿宋" w:eastAsia="仿宋" w:cs="仿宋"/>
          <w:sz w:val="32"/>
          <w:szCs w:val="32"/>
        </w:rPr>
        <w:t>软件默认工艺流程的前置工序均已操作完成，选手使用上一环节构件吊装的操作结果，完成4个构件的灌浆连接处理操作。选手按照工艺流程和要求，进行高层剪力墙灌浆套筒的灌浆操作。操作过程中，考核选手对异常工况处置能力、质量检验能力等，验收完毕并提交。</w:t>
      </w:r>
    </w:p>
    <w:p>
      <w:pPr>
        <w:ind w:firstLine="321" w:firstLineChars="100"/>
        <w:rPr>
          <w:rFonts w:ascii="仿宋" w:hAnsi="仿宋" w:eastAsia="仿宋" w:cs="仿宋"/>
          <w:b/>
          <w:sz w:val="32"/>
          <w:szCs w:val="32"/>
        </w:rPr>
      </w:pPr>
      <w:r>
        <w:rPr>
          <w:rFonts w:hint="eastAsia" w:ascii="仿宋" w:hAnsi="仿宋" w:eastAsia="仿宋" w:cs="仿宋"/>
          <w:b/>
          <w:sz w:val="32"/>
          <w:szCs w:val="32"/>
        </w:rPr>
        <w:t>（二）竞赛规则</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1.竞赛组织机构</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竞赛组委会遵守竞赛制度，成立专家工作组，在竞赛组委会的领导下按照有关制度开展赛项技术文件编撰、竞赛命题、赛场设计、设备拟定、裁判员培训、赛项说明会组织、赛项安全预案、赛事咨询、教学成果展示体验、赛事宣传方案设计、竞赛成绩分析、赛事技术评点、赛事成果转化等工作。保证公开、公平、公正办赛。</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2.裁判</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共设裁判3名，其中裁判长1名，由行业专家和非参赛院校的教育专家担任，在裁判长领导下工作，遵循裁判工作的有关规定公正执法。总裁判长对竞赛组委会负责，并接受竞赛组委会及专家工作组的协调和指导。</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3.参赛队</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参赛队通过组委会官方网站报名系统统一进行报名。报名后，参赛队不得更换参赛选手。参赛选手在竞赛前因故不能参赛，由所在报名单位出具书面申请、经赛项秘书处审核批准后方可更换参赛选手。</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4.场地</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按照竞赛日程安排，赛项执委会组织各参赛队在规定时间段内熟悉竞赛场地。</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5.竞赛要求</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（1）本次比赛所用计算机，由承办学校统一提供。</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（2）参赛选手必须持参赛证、本人身份证或学生证入场参加竞赛。各参赛队领队和指导教师及其他无关人员均不得私自进入赛场。</w:t>
      </w:r>
    </w:p>
    <w:p>
      <w:pPr>
        <w:autoSpaceDE w:val="0"/>
        <w:autoSpaceDN w:val="0"/>
        <w:adjustRightInd w:val="0"/>
        <w:ind w:firstLine="480" w:firstLineChars="150"/>
        <w:jc w:val="left"/>
        <w:rPr>
          <w:rFonts w:ascii="仿宋" w:hAnsi="仿宋" w:eastAsia="仿宋" w:cs="仿宋"/>
          <w:kern w:val="0"/>
          <w:sz w:val="32"/>
          <w:szCs w:val="32"/>
        </w:rPr>
      </w:pPr>
      <w:r>
        <w:rPr>
          <w:rFonts w:hint="eastAsia" w:ascii="仿宋" w:hAnsi="仿宋" w:eastAsia="仿宋" w:cs="仿宋"/>
          <w:color w:val="000000"/>
          <w:kern w:val="0"/>
          <w:sz w:val="32"/>
          <w:szCs w:val="32"/>
        </w:rPr>
        <w:t>（3）参赛选手应提前15分钟进入赛场，入场、检查竞赛设备。</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（4）竞赛正式开始20分钟以后选手不得再入场参加竞赛，按弃权处理。</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5）竞赛时间段内参赛选手不得离开赛场，如有特殊情况需暂时离开赛场，应报告裁判同意，离开赛场期间应有流动监考人员陪同。竞赛结束之后，参赛选手确认提交的竞赛成果后，在监考人员的组织下离开赛场。</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6）参赛选手按照抽签决定的赛场及机位对号入座，监考人员应对每位参赛选手的证件进行认真检查、认证。参赛选手在竞赛正式开始之前应对计算机进行开机检查，但只准浏览和试用答题系统、试运行竞赛平台。</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7）在竞赛过程中，参赛选手如遇问题需举手向监考人员示意，参赛队与参赛队之间不得互相交流，否则按作弊行为处理；本队选手之间在理论比赛环节不可交流，否则按作弊行为处理；本队选手之间在现场实操环节可以交流；参赛选手不得破坏竞赛设备——操作箱的封条，否则按作弊行为处理。</w:t>
      </w:r>
    </w:p>
    <w:p>
      <w:pPr>
        <w:autoSpaceDE w:val="0"/>
        <w:autoSpaceDN w:val="0"/>
        <w:adjustRightInd w:val="0"/>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8）参赛选手遇到应用软件或答题系统故障时，应及时向监考人员报告，对于因故障而耽搁的时间，由监考人员请示裁判长同意后将该选手的竞赛时间相应后延。竞赛结束前，参赛选手应按照答题系统的操作要求提交竞赛成果，完成部分竞赛成果要按要求保存在计算机上指定的位置，竞赛成果不得做任何标记，否则按“0”分计。听到竞赛结束信号后，参赛选手应立即停止操作，不得以任何理由拖延竞赛时间。对违反赛场规则，不服从监考人员劝阻者，经竞赛组委会裁决可取消其比赛资格。</w:t>
      </w:r>
    </w:p>
    <w:p>
      <w:pPr>
        <w:pStyle w:val="13"/>
        <w:ind w:firstLine="480" w:firstLineChars="150"/>
        <w:rPr>
          <w:rFonts w:ascii="仿宋" w:hAnsi="仿宋" w:eastAsia="仿宋" w:cs="仿宋"/>
          <w:sz w:val="32"/>
          <w:szCs w:val="32"/>
        </w:rPr>
      </w:pPr>
      <w:r>
        <w:rPr>
          <w:rFonts w:hint="eastAsia" w:ascii="仿宋" w:hAnsi="仿宋" w:eastAsia="仿宋" w:cs="仿宋"/>
          <w:sz w:val="32"/>
          <w:szCs w:val="32"/>
        </w:rPr>
        <w:t>（9）竞赛所需的设备及软件由技术支持单位提供，参赛选手不可携带技术资料、标准图集、教材、工具书、相关软件等，不得使用自带的计算机、键盘、鼠标、移动存储器等各类设备，不得携带通讯工具等进入竞赛现场，竞赛所需的笔和草稿纸由承办学校统一提供。</w:t>
      </w:r>
    </w:p>
    <w:p>
      <w:pPr>
        <w:pStyle w:val="13"/>
        <w:ind w:firstLine="643" w:firstLineChars="200"/>
        <w:rPr>
          <w:rFonts w:ascii="仿宋" w:hAnsi="仿宋" w:eastAsia="仿宋" w:cs="仿宋"/>
          <w:b/>
          <w:sz w:val="32"/>
          <w:szCs w:val="32"/>
        </w:rPr>
      </w:pPr>
      <w:r>
        <w:rPr>
          <w:rFonts w:hint="eastAsia" w:ascii="仿宋" w:hAnsi="仿宋" w:eastAsia="仿宋" w:cs="仿宋"/>
          <w:b/>
          <w:sz w:val="32"/>
          <w:szCs w:val="32"/>
        </w:rPr>
        <w:t>6.文明参赛要求</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领队和指导教师严格遵守赛场规章制度，按时参加组委会及秘书处组织的相关会议。竞赛过程中，领队和指导教师不得进入竞赛现场。</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参赛选手应严格遵守赛场规章、操作规程，保证人身及设备安全，接受监考人员的监督和警示，文明竞赛。</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7.成绩确认与公布</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成绩分项统计并汇总折算成总成绩，经裁判长审核无误，由裁判长和仲裁人员签字确认后，在闭幕式前张榜公布。同时，裁判长或相关组委会工作人员接受参赛队的咨询。</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仲裁组负责接受参赛队的投诉，并负责仲裁。投诉时间为：成绩张榜公布后1小时内。</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(三) 成绩评定</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参赛选手应独立完成理论知识竞赛任务，2名选手得分的平均值为本队理论竞赛的成绩；2名选手合作完成实际操作仿真竞赛任务，实操总得分即为本队实操竞赛的成绩。成绩均由竞赛考核平台自动判定。</w:t>
      </w:r>
    </w:p>
    <w:p>
      <w:pPr>
        <w:autoSpaceDE w:val="0"/>
        <w:autoSpaceDN w:val="0"/>
        <w:adjustRightInd w:val="0"/>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最终成绩计算如下：</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（1）团队最终成绩=团队理论成绩×30%+团队实操成绩×70%</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（2）个人最终成绩=个人理论成绩×30%+团队实操成绩×70%</w:t>
      </w:r>
    </w:p>
    <w:p>
      <w:pPr>
        <w:autoSpaceDE w:val="0"/>
        <w:autoSpaceDN w:val="0"/>
        <w:adjustRightInd w:val="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成绩经复核无误后，由裁判长和仲裁人员签字确认后公布。</w:t>
      </w:r>
    </w:p>
    <w:p>
      <w:pPr>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(四) 竞赛须知</w:t>
      </w:r>
    </w:p>
    <w:p>
      <w:pPr>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1. 参赛队须知</w:t>
      </w:r>
    </w:p>
    <w:p>
      <w:pPr>
        <w:spacing w:line="360" w:lineRule="auto"/>
        <w:ind w:firstLine="640" w:firstLineChars="200"/>
        <w:rPr>
          <w:rFonts w:ascii="仿宋" w:hAnsi="仿宋" w:eastAsia="仿宋" w:cs="仿宋"/>
          <w:b/>
          <w:color w:val="000000"/>
          <w:kern w:val="0"/>
          <w:sz w:val="32"/>
          <w:szCs w:val="32"/>
        </w:rPr>
      </w:pPr>
      <w:r>
        <w:rPr>
          <w:rFonts w:hint="eastAsia" w:ascii="仿宋" w:hAnsi="仿宋" w:eastAsia="仿宋" w:cs="仿宋"/>
          <w:color w:val="000000"/>
          <w:kern w:val="0"/>
          <w:sz w:val="32"/>
          <w:szCs w:val="32"/>
        </w:rPr>
        <w:t>（1）以企业为单位组成参赛队伍，参赛选手需在本企业连续工作 6 个月以上，由所在企业出具在职证明，每个企业每个项目限报一个参赛队，每位参赛选手限报一个竞赛小组。每个学校原则上限报</w:t>
      </w:r>
      <w:r>
        <w:rPr>
          <w:rFonts w:hint="eastAsia" w:ascii="仿宋" w:hAnsi="仿宋" w:eastAsia="仿宋" w:cs="仿宋"/>
          <w:sz w:val="32"/>
          <w:szCs w:val="32"/>
        </w:rPr>
        <w:t>1个参赛队，每队2名参赛选手，</w:t>
      </w:r>
      <w:r>
        <w:rPr>
          <w:rFonts w:hint="eastAsia" w:ascii="仿宋" w:hAnsi="仿宋" w:eastAsia="仿宋" w:cs="仿宋"/>
          <w:color w:val="000000"/>
          <w:kern w:val="0"/>
          <w:sz w:val="32"/>
          <w:szCs w:val="32"/>
        </w:rPr>
        <w:t>必须为同一学校的在校学生，不得跨校组队，违者取消竞赛资格。</w:t>
      </w:r>
    </w:p>
    <w:p>
      <w:pPr>
        <w:autoSpaceDE w:val="0"/>
        <w:autoSpaceDN w:val="0"/>
        <w:adjustRightInd w:val="0"/>
        <w:spacing w:line="360" w:lineRule="auto"/>
        <w:ind w:firstLine="480" w:firstLineChars="1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熟悉竞赛规程和赛项须知，领队负责做好本参赛队竞赛期间的管理工作。参赛选手在报名获得审核确认后，原则上不再更换，如筹备过程中，队员因故不能参赛，须于开赛5个工作日之前出具书面说明，经赛项秘书处核实后予以替换；参赛选手注册报到后，不得更换，允许参赛选手缺席竞赛。</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（3）参赛选手按照竞赛规程安排，凭参赛证、本人身份证和在职证明（学生证）参加竞赛及相关活动。</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（4）各参赛队必须按相关操作规程要求参与竞赛，在竞赛过程中不按操作要求，出现人为损坏赛项提供的设备情况，由参赛队照价赔偿。</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（5）本竞赛项目的解释权归竞赛组委会。</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2.指导教师须知（学生组）</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（1）每个参赛队最多可配2名指导教师，指导教师经报名、审核后确定，一经确定不得更换，允许指导教师缺席竞赛。</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（2）严格遵守赛场规章制度，尽职尽责。</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（3）竞赛过程中，指导教师不得进入竞赛现场。</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（4）指导教师应按时参加组委会组织的相关会议。</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（5）指导教师要做好本队参赛选手的有关组织工作，督促参赛选手按指定时间和地点报到；做好参赛选手的后勤保障、安全工作；自觉维护赛场秩序。</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3.参赛选手须知</w:t>
      </w:r>
    </w:p>
    <w:p>
      <w:pPr>
        <w:ind w:firstLine="320" w:firstLineChars="100"/>
        <w:rPr>
          <w:rFonts w:ascii="仿宋" w:hAnsi="仿宋" w:eastAsia="仿宋" w:cs="仿宋"/>
          <w:color w:val="000000"/>
          <w:kern w:val="0"/>
          <w:sz w:val="32"/>
          <w:szCs w:val="32"/>
        </w:rPr>
      </w:pPr>
      <w:r>
        <w:rPr>
          <w:rFonts w:hint="eastAsia" w:ascii="仿宋" w:hAnsi="仿宋" w:eastAsia="仿宋" w:cs="仿宋"/>
          <w:color w:val="000000"/>
          <w:kern w:val="0"/>
          <w:sz w:val="32"/>
          <w:szCs w:val="32"/>
        </w:rPr>
        <w:t>（1）参赛选手应严格遵守赛场规章、操作规程，保证人身及设备安全，接受现场工作人员的监督和警示，文明竞赛。</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（2）参赛选手在赛场内应始终佩带参赛凭证（参赛证）并携带身份证、在职证明（学生证）。</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（3）参赛选手应自觉遵守赛场纪律，服从裁判、听从指挥、文明竞赛。禁止将参考资料及通讯工具带入赛场。</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（4）参赛选手竞赛过程中，因严重违背竞赛纪律和规则的，现场裁判员有权中止其竞赛。</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（5）在竞赛过程中，参赛选手不得故意干扰其他队选手的竞赛。</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（6）在竞赛中因非人为因素造成的设备故障，经设备检修工程师确认、经监考人员请示裁判长同意后，可将该参赛选手的竞赛时间相应后延。</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（7）参赛选手有义务参加赛项执委会组织的座谈、报告会等活动。</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4.工作人员须知</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（1）树立服务观念，一切为参赛选手着想，以高度负责的精神、严肃认真的态度和严谨细致的作风，积极完成本职任务。</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（2）注意文明礼貌，保持良好形象，明确职责，规范言行。</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（3）赛前60分钟到达赛场，严守工作岗位，不迟到，不早退，不无故离岗，特殊情况需向竞赛组委会请假。</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（4）严格按照工作程序和有关规定办事，如遇突发事件，应按照安全工作预案，组织指挥人员疏散，确保人员安全。</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（5）保持通信畅通，服从统一领导，严格遵守竞赛纪律，加强协作配合，提高工作效率。</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(五) 申诉与仲裁</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在比赛过程中若出现有失公正或有关人员违规等现象，代表队领队可在比赛结束后2小时之内向仲裁组提出申诉。竞赛组委会选派人员参加仲</w:t>
      </w:r>
      <w:r>
        <w:rPr>
          <w:rFonts w:hint="eastAsia" w:ascii="仿宋" w:hAnsi="仿宋" w:eastAsia="仿宋" w:cs="仿宋"/>
          <w:sz w:val="32"/>
          <w:szCs w:val="32"/>
        </w:rPr>
        <w:t>裁委员会工作。赛项仲裁工作组在接到申诉后的2小时内组织复议，并及时反馈复议结果。竞赛仲裁委员会的仲裁结果为最终结果。</w:t>
      </w:r>
    </w:p>
    <w:p>
      <w:pPr>
        <w:ind w:firstLine="321" w:firstLineChars="100"/>
        <w:rPr>
          <w:rFonts w:ascii="仿宋" w:hAnsi="仿宋" w:eastAsia="仿宋" w:cs="仿宋"/>
          <w:b/>
          <w:sz w:val="32"/>
          <w:szCs w:val="32"/>
        </w:rPr>
      </w:pPr>
      <w:r>
        <w:rPr>
          <w:rFonts w:hint="eastAsia" w:ascii="仿宋" w:hAnsi="仿宋" w:eastAsia="仿宋" w:cs="仿宋"/>
          <w:b/>
          <w:sz w:val="32"/>
          <w:szCs w:val="32"/>
        </w:rPr>
        <w:t>三、 主要考核点及参考文献</w:t>
      </w:r>
    </w:p>
    <w:tbl>
      <w:tblPr>
        <w:tblStyle w:val="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1129" w:type="dxa"/>
            <w:vAlign w:val="center"/>
          </w:tcPr>
          <w:p>
            <w:pPr>
              <w:jc w:val="center"/>
              <w:rPr>
                <w:rFonts w:ascii="仿宋" w:hAnsi="仿宋" w:eastAsia="仿宋" w:cs="仿宋"/>
                <w:b/>
                <w:sz w:val="32"/>
                <w:szCs w:val="32"/>
              </w:rPr>
            </w:pPr>
            <w:r>
              <w:rPr>
                <w:rFonts w:hint="eastAsia" w:ascii="仿宋" w:hAnsi="仿宋" w:eastAsia="仿宋" w:cs="仿宋"/>
                <w:b/>
                <w:sz w:val="32"/>
                <w:szCs w:val="32"/>
              </w:rPr>
              <w:t>考点</w:t>
            </w:r>
          </w:p>
        </w:tc>
        <w:tc>
          <w:tcPr>
            <w:tcW w:w="7371" w:type="dxa"/>
            <w:vAlign w:val="center"/>
          </w:tcPr>
          <w:p>
            <w:pPr>
              <w:jc w:val="center"/>
              <w:rPr>
                <w:rFonts w:ascii="仿宋" w:hAnsi="仿宋" w:eastAsia="仿宋" w:cs="仿宋"/>
                <w:b/>
                <w:sz w:val="32"/>
                <w:szCs w:val="32"/>
              </w:rPr>
            </w:pPr>
            <w:r>
              <w:rPr>
                <w:rFonts w:hint="eastAsia" w:ascii="仿宋" w:hAnsi="仿宋" w:eastAsia="仿宋" w:cs="仿宋"/>
                <w:b/>
                <w:sz w:val="32"/>
                <w:szCs w:val="32"/>
              </w:rPr>
              <w:t>参考文献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6" w:hRule="atLeast"/>
        </w:trPr>
        <w:tc>
          <w:tcPr>
            <w:tcW w:w="1129" w:type="dxa"/>
            <w:vAlign w:val="center"/>
          </w:tcPr>
          <w:p>
            <w:pPr>
              <w:pStyle w:val="13"/>
              <w:jc w:val="center"/>
              <w:rPr>
                <w:rFonts w:ascii="仿宋" w:hAnsi="仿宋" w:eastAsia="仿宋" w:cs="仿宋"/>
                <w:sz w:val="32"/>
                <w:szCs w:val="32"/>
              </w:rPr>
            </w:pPr>
            <w:r>
              <w:rPr>
                <w:rFonts w:hint="eastAsia" w:ascii="仿宋" w:hAnsi="仿宋" w:eastAsia="仿宋" w:cs="仿宋"/>
                <w:sz w:val="32"/>
                <w:szCs w:val="32"/>
              </w:rPr>
              <w:t>安全</w:t>
            </w:r>
          </w:p>
          <w:p>
            <w:pPr>
              <w:pStyle w:val="13"/>
              <w:jc w:val="center"/>
              <w:rPr>
                <w:rFonts w:ascii="仿宋" w:hAnsi="仿宋" w:eastAsia="仿宋" w:cs="仿宋"/>
                <w:sz w:val="32"/>
                <w:szCs w:val="32"/>
              </w:rPr>
            </w:pPr>
            <w:r>
              <w:rPr>
                <w:rFonts w:hint="eastAsia" w:ascii="仿宋" w:hAnsi="仿宋" w:eastAsia="仿宋" w:cs="仿宋"/>
                <w:sz w:val="32"/>
                <w:szCs w:val="32"/>
              </w:rPr>
              <w:t>质量</w:t>
            </w:r>
          </w:p>
          <w:p>
            <w:pPr>
              <w:pStyle w:val="13"/>
              <w:jc w:val="center"/>
              <w:rPr>
                <w:rFonts w:ascii="仿宋" w:hAnsi="仿宋" w:eastAsia="仿宋" w:cs="仿宋"/>
                <w:sz w:val="32"/>
                <w:szCs w:val="32"/>
              </w:rPr>
            </w:pPr>
            <w:r>
              <w:rPr>
                <w:rFonts w:hint="eastAsia" w:ascii="仿宋" w:hAnsi="仿宋" w:eastAsia="仿宋" w:cs="仿宋"/>
                <w:sz w:val="32"/>
                <w:szCs w:val="32"/>
              </w:rPr>
              <w:t>成本</w:t>
            </w:r>
          </w:p>
          <w:p>
            <w:pPr>
              <w:jc w:val="center"/>
              <w:rPr>
                <w:rFonts w:ascii="仿宋" w:hAnsi="仿宋" w:eastAsia="仿宋" w:cs="仿宋"/>
                <w:sz w:val="32"/>
                <w:szCs w:val="32"/>
              </w:rPr>
            </w:pPr>
            <w:r>
              <w:rPr>
                <w:rFonts w:hint="eastAsia" w:ascii="仿宋" w:hAnsi="仿宋" w:eastAsia="仿宋" w:cs="仿宋"/>
                <w:sz w:val="32"/>
                <w:szCs w:val="32"/>
              </w:rPr>
              <w:t>工艺流程</w:t>
            </w:r>
          </w:p>
        </w:tc>
        <w:tc>
          <w:tcPr>
            <w:tcW w:w="7371" w:type="dxa"/>
          </w:tcPr>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GBT 51231-2016《装配式混凝土建筑技术标准》</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JGJ 1-2014《装配式混凝土结构技术规程》</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15G310-2《装配式混凝土结构连接节点构造（剪力墙）》</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16G101-1《混凝土结构施工图平面整体表示方法制图规则和构造详图（现浇混凝土框架、剪力墙、梁、板）》</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15G365-1《预制混凝土剪力墙外墙板》</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15G365-2《预制混凝土剪力墙内墙板》</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15G366-1《桁架钢筋混凝土叠合板（60mm厚底板）》</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TY 01-01(01)-2016《装配式建筑工程消耗量定额》</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16G906 《装配式混凝土剪力墙结构住宅施工工艺图解》</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15G939-1《装配式混凝土结构住宅建筑设计示例（剪力墙结构）》</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15G107-1《装配式混凝土结构表示方法及示例（剪力墙结构）》</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ISBN978-7-112-21758-8《装配式建筑混凝土构件生产》</w:t>
            </w:r>
          </w:p>
          <w:p>
            <w:pPr>
              <w:pStyle w:val="13"/>
              <w:numPr>
                <w:ilvl w:val="0"/>
                <w:numId w:val="1"/>
              </w:numPr>
              <w:ind w:left="0"/>
              <w:rPr>
                <w:rFonts w:ascii="仿宋" w:hAnsi="仿宋" w:eastAsia="仿宋" w:cs="仿宋"/>
                <w:sz w:val="32"/>
                <w:szCs w:val="32"/>
              </w:rPr>
            </w:pPr>
            <w:r>
              <w:rPr>
                <w:rFonts w:hint="eastAsia" w:ascii="仿宋" w:hAnsi="仿宋" w:eastAsia="仿宋" w:cs="仿宋"/>
                <w:sz w:val="32"/>
                <w:szCs w:val="32"/>
              </w:rPr>
              <w:t>ISBN978-7-112-21777-9《装配式建筑施工技术》</w:t>
            </w:r>
          </w:p>
        </w:tc>
      </w:tr>
    </w:tbl>
    <w:p>
      <w:pPr>
        <w:rPr>
          <w:rFonts w:ascii="仿宋" w:hAnsi="仿宋" w:eastAsia="仿宋" w:cs="仿宋"/>
          <w:sz w:val="32"/>
          <w:szCs w:val="32"/>
        </w:rPr>
      </w:pPr>
    </w:p>
    <w:p>
      <w:pPr>
        <w:ind w:firstLine="321" w:firstLineChars="100"/>
        <w:rPr>
          <w:rFonts w:ascii="仿宋" w:hAnsi="仿宋" w:eastAsia="仿宋" w:cs="仿宋"/>
          <w:b/>
          <w:sz w:val="32"/>
          <w:szCs w:val="32"/>
        </w:rPr>
      </w:pPr>
      <w:r>
        <w:rPr>
          <w:rFonts w:hint="eastAsia" w:ascii="仿宋" w:hAnsi="仿宋" w:eastAsia="仿宋" w:cs="仿宋"/>
          <w:b/>
          <w:sz w:val="32"/>
          <w:szCs w:val="32"/>
        </w:rPr>
        <w:t>四、 参赛设备</w:t>
      </w:r>
    </w:p>
    <w:p>
      <w:pPr>
        <w:autoSpaceDE w:val="0"/>
        <w:autoSpaceDN w:val="0"/>
        <w:adjustRightInd w:val="0"/>
        <w:ind w:firstLine="643" w:firstLineChars="2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1.竞赛实操考核平台</w:t>
      </w:r>
    </w:p>
    <w:p>
      <w:pPr>
        <w:ind w:firstLine="480" w:firstLineChars="150"/>
        <w:rPr>
          <w:rFonts w:ascii="仿宋" w:hAnsi="仿宋" w:eastAsia="仿宋" w:cs="仿宋"/>
          <w:color w:val="000000"/>
          <w:kern w:val="0"/>
          <w:sz w:val="32"/>
          <w:szCs w:val="32"/>
        </w:rPr>
      </w:pPr>
      <w:r>
        <w:rPr>
          <w:rFonts w:hint="eastAsia" w:ascii="仿宋" w:hAnsi="仿宋" w:eastAsia="仿宋" w:cs="仿宋"/>
          <w:color w:val="000000"/>
          <w:kern w:val="0"/>
          <w:sz w:val="32"/>
          <w:szCs w:val="32"/>
        </w:rPr>
        <w:t>（1）“新之筑装配式建筑虚拟仿真软件——混凝土构件生产”。</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4649470" cy="3010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19732" cy="3056114"/>
                    </a:xfrm>
                    <a:prstGeom prst="rect">
                      <a:avLst/>
                    </a:prstGeom>
                    <a:noFill/>
                    <a:ln>
                      <a:noFill/>
                    </a:ln>
                  </pic:spPr>
                </pic:pic>
              </a:graphicData>
            </a:graphic>
          </wp:inline>
        </w:drawing>
      </w: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4607560" cy="29591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08000" cy="2959200"/>
                    </a:xfrm>
                    <a:prstGeom prst="rect">
                      <a:avLst/>
                    </a:prstGeom>
                    <a:noFill/>
                    <a:ln>
                      <a:noFill/>
                    </a:ln>
                  </pic:spPr>
                </pic:pic>
              </a:graphicData>
            </a:graphic>
          </wp:inline>
        </w:drawing>
      </w:r>
    </w:p>
    <w:p>
      <w:pPr>
        <w:autoSpaceDE w:val="0"/>
        <w:autoSpaceDN w:val="0"/>
        <w:adjustRightInd w:val="0"/>
        <w:ind w:firstLine="320" w:firstLineChars="100"/>
        <w:jc w:val="left"/>
        <w:rPr>
          <w:rFonts w:ascii="仿宋" w:hAnsi="仿宋" w:eastAsia="仿宋" w:cs="仿宋"/>
          <w:color w:val="000000"/>
          <w:kern w:val="0"/>
          <w:sz w:val="32"/>
          <w:szCs w:val="32"/>
        </w:rPr>
      </w:pPr>
    </w:p>
    <w:p>
      <w:pPr>
        <w:autoSpaceDE w:val="0"/>
        <w:autoSpaceDN w:val="0"/>
        <w:adjustRightInd w:val="0"/>
        <w:ind w:firstLine="320" w:firstLineChars="100"/>
        <w:jc w:val="left"/>
        <w:rPr>
          <w:rFonts w:ascii="仿宋" w:hAnsi="仿宋" w:eastAsia="仿宋" w:cs="仿宋"/>
          <w:color w:val="000000"/>
          <w:kern w:val="0"/>
          <w:sz w:val="32"/>
          <w:szCs w:val="32"/>
        </w:rPr>
      </w:pPr>
    </w:p>
    <w:p>
      <w:pPr>
        <w:autoSpaceDE w:val="0"/>
        <w:autoSpaceDN w:val="0"/>
        <w:adjustRightInd w:val="0"/>
        <w:ind w:firstLine="320" w:firstLineChars="100"/>
        <w:jc w:val="left"/>
        <w:rPr>
          <w:rFonts w:ascii="仿宋" w:hAnsi="仿宋" w:eastAsia="仿宋" w:cs="仿宋"/>
          <w:color w:val="000000"/>
          <w:kern w:val="0"/>
          <w:sz w:val="32"/>
          <w:szCs w:val="32"/>
        </w:rPr>
      </w:pP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（2）“新之筑装配式建筑虚拟仿真软件——装配式施工技术”</w:t>
      </w:r>
    </w:p>
    <w:p>
      <w:pPr>
        <w:autoSpaceDE w:val="0"/>
        <w:autoSpaceDN w:val="0"/>
        <w:adjustRightInd w:val="0"/>
        <w:jc w:val="center"/>
        <w:rPr>
          <w:rFonts w:ascii="仿宋" w:hAnsi="仿宋" w:eastAsia="仿宋" w:cs="仿宋"/>
          <w:color w:val="000000"/>
          <w:kern w:val="0"/>
          <w:sz w:val="32"/>
          <w:szCs w:val="32"/>
        </w:rPr>
      </w:pPr>
      <w:r>
        <w:rPr>
          <w:rFonts w:hint="eastAsia" w:ascii="仿宋" w:hAnsi="仿宋" w:eastAsia="仿宋" w:cs="仿宋"/>
          <w:color w:val="000000"/>
          <w:kern w:val="0"/>
          <w:sz w:val="32"/>
          <w:szCs w:val="32"/>
        </w:rPr>
        <w:drawing>
          <wp:inline distT="0" distB="0" distL="0" distR="0">
            <wp:extent cx="4879975" cy="32937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83424" cy="3296053"/>
                    </a:xfrm>
                    <a:prstGeom prst="rect">
                      <a:avLst/>
                    </a:prstGeom>
                    <a:noFill/>
                    <a:ln>
                      <a:noFill/>
                    </a:ln>
                  </pic:spPr>
                </pic:pic>
              </a:graphicData>
            </a:graphic>
          </wp:inline>
        </w:drawing>
      </w:r>
    </w:p>
    <w:p>
      <w:pPr>
        <w:autoSpaceDE w:val="0"/>
        <w:autoSpaceDN w:val="0"/>
        <w:adjustRightInd w:val="0"/>
        <w:jc w:val="center"/>
        <w:rPr>
          <w:rFonts w:ascii="仿宋" w:hAnsi="仿宋" w:eastAsia="仿宋" w:cs="仿宋"/>
          <w:color w:val="000000"/>
          <w:kern w:val="0"/>
          <w:sz w:val="32"/>
          <w:szCs w:val="32"/>
        </w:rPr>
      </w:pPr>
    </w:p>
    <w:p>
      <w:pPr>
        <w:autoSpaceDE w:val="0"/>
        <w:autoSpaceDN w:val="0"/>
        <w:adjustRightInd w:val="0"/>
        <w:jc w:val="center"/>
        <w:rPr>
          <w:rFonts w:ascii="仿宋" w:hAnsi="仿宋" w:eastAsia="仿宋" w:cs="仿宋"/>
          <w:color w:val="000000"/>
          <w:kern w:val="0"/>
          <w:sz w:val="32"/>
          <w:szCs w:val="32"/>
        </w:rPr>
      </w:pPr>
      <w:r>
        <w:rPr>
          <w:rFonts w:hint="eastAsia" w:ascii="仿宋" w:hAnsi="仿宋" w:eastAsia="仿宋" w:cs="仿宋"/>
          <w:color w:val="000000"/>
          <w:kern w:val="0"/>
          <w:sz w:val="32"/>
          <w:szCs w:val="32"/>
        </w:rPr>
        <w:drawing>
          <wp:inline distT="0" distB="0" distL="0" distR="0">
            <wp:extent cx="4866640" cy="3178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88072" cy="3192845"/>
                    </a:xfrm>
                    <a:prstGeom prst="rect">
                      <a:avLst/>
                    </a:prstGeom>
                    <a:noFill/>
                    <a:ln>
                      <a:noFill/>
                    </a:ln>
                  </pic:spPr>
                </pic:pic>
              </a:graphicData>
            </a:graphic>
          </wp:inline>
        </w:drawing>
      </w:r>
    </w:p>
    <w:p>
      <w:pPr>
        <w:autoSpaceDE w:val="0"/>
        <w:autoSpaceDN w:val="0"/>
        <w:adjustRightInd w:val="0"/>
        <w:jc w:val="left"/>
        <w:rPr>
          <w:rFonts w:ascii="仿宋" w:hAnsi="仿宋" w:eastAsia="仿宋" w:cs="仿宋"/>
          <w:color w:val="000000"/>
          <w:kern w:val="0"/>
          <w:sz w:val="32"/>
          <w:szCs w:val="32"/>
        </w:rPr>
      </w:pPr>
    </w:p>
    <w:p>
      <w:pPr>
        <w:autoSpaceDE w:val="0"/>
        <w:autoSpaceDN w:val="0"/>
        <w:adjustRightInd w:val="0"/>
        <w:jc w:val="left"/>
        <w:rPr>
          <w:rFonts w:ascii="仿宋" w:hAnsi="仿宋" w:eastAsia="仿宋" w:cs="仿宋"/>
          <w:color w:val="000000"/>
          <w:kern w:val="0"/>
          <w:sz w:val="32"/>
          <w:szCs w:val="32"/>
        </w:rPr>
      </w:pPr>
    </w:p>
    <w:p>
      <w:pPr>
        <w:autoSpaceDE w:val="0"/>
        <w:autoSpaceDN w:val="0"/>
        <w:adjustRightInd w:val="0"/>
        <w:jc w:val="left"/>
        <w:rPr>
          <w:rFonts w:ascii="仿宋" w:hAnsi="仿宋" w:eastAsia="仿宋" w:cs="仿宋"/>
          <w:color w:val="000000"/>
          <w:kern w:val="0"/>
          <w:sz w:val="32"/>
          <w:szCs w:val="32"/>
        </w:rPr>
      </w:pPr>
    </w:p>
    <w:p>
      <w:pPr>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2.竞赛操作箱</w:t>
      </w:r>
    </w:p>
    <w:p>
      <w:pPr>
        <w:rPr>
          <w:rFonts w:ascii="仿宋" w:hAnsi="仿宋" w:eastAsia="仿宋" w:cs="仿宋"/>
          <w:sz w:val="32"/>
          <w:szCs w:val="32"/>
        </w:rPr>
      </w:pPr>
      <w:r>
        <w:rPr>
          <w:rFonts w:hint="eastAsia" w:ascii="仿宋" w:hAnsi="仿宋" w:eastAsia="仿宋" w:cs="仿宋"/>
          <w:sz w:val="32"/>
          <w:szCs w:val="32"/>
        </w:rPr>
        <w:t>（1）浇筑操作箱</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4826635" cy="31775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30705" cy="3180175"/>
                    </a:xfrm>
                    <a:prstGeom prst="rect">
                      <a:avLst/>
                    </a:prstGeom>
                    <a:noFill/>
                    <a:ln>
                      <a:noFill/>
                    </a:ln>
                  </pic:spPr>
                </pic:pic>
              </a:graphicData>
            </a:graphic>
          </wp:inline>
        </w:drawing>
      </w:r>
    </w:p>
    <w:p>
      <w:pPr>
        <w:jc w:val="center"/>
        <w:rPr>
          <w:rFonts w:ascii="仿宋" w:hAnsi="仿宋" w:eastAsia="仿宋" w:cs="仿宋"/>
          <w:sz w:val="32"/>
          <w:szCs w:val="32"/>
        </w:rPr>
      </w:pPr>
    </w:p>
    <w:p>
      <w:pPr>
        <w:autoSpaceDE w:val="0"/>
        <w:autoSpaceDN w:val="0"/>
        <w:adjustRightInd w:val="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（2）构件吊装操作箱</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012055" cy="3487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15692" cy="3489814"/>
                    </a:xfrm>
                    <a:prstGeom prst="rect">
                      <a:avLst/>
                    </a:prstGeom>
                    <a:noFill/>
                    <a:ln>
                      <a:noFill/>
                    </a:ln>
                  </pic:spPr>
                </pic:pic>
              </a:graphicData>
            </a:graphic>
          </wp:inline>
        </w:drawing>
      </w:r>
    </w:p>
    <w:p>
      <w:pPr>
        <w:autoSpaceDE w:val="0"/>
        <w:autoSpaceDN w:val="0"/>
        <w:adjustRightInd w:val="0"/>
        <w:jc w:val="left"/>
        <w:rPr>
          <w:rFonts w:ascii="仿宋" w:hAnsi="仿宋" w:eastAsia="仿宋" w:cs="仿宋"/>
          <w:b/>
          <w:color w:val="000000"/>
          <w:kern w:val="0"/>
          <w:sz w:val="32"/>
          <w:szCs w:val="32"/>
        </w:rPr>
      </w:pPr>
    </w:p>
    <w:p>
      <w:pPr>
        <w:autoSpaceDE w:val="0"/>
        <w:autoSpaceDN w:val="0"/>
        <w:adjustRightInd w:val="0"/>
        <w:ind w:firstLine="321" w:firstLineChars="1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 xml:space="preserve">五、训练方式 </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1.在线训练方式</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（1）确定参赛队后提供用户名和密码。</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（2）下载并进行在线训练。</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在线训练使用软件操作进行。训练自报名通道开启后开始，至竞赛前10天停止（节假日及非工作时间不提供使用）。</w:t>
      </w:r>
    </w:p>
    <w:p>
      <w:pPr>
        <w:autoSpaceDE w:val="0"/>
        <w:autoSpaceDN w:val="0"/>
        <w:adjustRightInd w:val="0"/>
        <w:ind w:firstLine="321" w:firstLineChars="1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2.在线答疑</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（1）建立竞赛QQ群，提供在线训练答疑服务。</w:t>
      </w:r>
    </w:p>
    <w:p>
      <w:pPr>
        <w:autoSpaceDE w:val="0"/>
        <w:autoSpaceDN w:val="0"/>
        <w:adjustRightInd w:val="0"/>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（2）服务内容：安装问题、操作问题、工艺问题等。</w:t>
      </w:r>
    </w:p>
    <w:p>
      <w:pPr>
        <w:ind w:firstLine="320" w:firstLineChars="100"/>
        <w:rPr>
          <w:rFonts w:ascii="仿宋" w:hAnsi="仿宋" w:eastAsia="仿宋" w:cs="仿宋"/>
          <w:color w:val="000000"/>
          <w:kern w:val="0"/>
          <w:sz w:val="32"/>
          <w:szCs w:val="32"/>
        </w:rPr>
      </w:pPr>
      <w:r>
        <w:rPr>
          <w:rFonts w:hint="eastAsia" w:ascii="仿宋" w:hAnsi="仿宋" w:eastAsia="仿宋" w:cs="仿宋"/>
          <w:color w:val="000000"/>
          <w:kern w:val="0"/>
          <w:sz w:val="32"/>
          <w:szCs w:val="32"/>
        </w:rPr>
        <w:t>（3）原则上提供操作记录，不提供操作结果评分，由指导教师对操作结果进行判断。</w:t>
      </w:r>
    </w:p>
    <w:p>
      <w:pPr>
        <w:ind w:firstLine="320" w:firstLineChars="100"/>
        <w:rPr>
          <w:rFonts w:ascii="仿宋" w:hAnsi="仿宋" w:eastAsia="仿宋" w:cs="仿宋"/>
          <w:color w:val="000000"/>
          <w:kern w:val="0"/>
          <w:sz w:val="32"/>
          <w:szCs w:val="32"/>
        </w:rPr>
      </w:pPr>
    </w:p>
    <w:p>
      <w:pPr>
        <w:autoSpaceDE w:val="0"/>
        <w:autoSpaceDN w:val="0"/>
        <w:adjustRightInd w:val="0"/>
        <w:ind w:firstLine="321" w:firstLineChars="10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 xml:space="preserve">六、评分表 </w:t>
      </w:r>
    </w:p>
    <w:p>
      <w:pPr>
        <w:autoSpaceDE w:val="0"/>
        <w:autoSpaceDN w:val="0"/>
        <w:adjustRightInd w:val="0"/>
        <w:ind w:firstLine="482" w:firstLineChars="150"/>
        <w:jc w:val="left"/>
        <w:rPr>
          <w:rFonts w:ascii="仿宋" w:hAnsi="仿宋" w:eastAsia="仿宋" w:cs="仿宋"/>
          <w:b/>
          <w:color w:val="000000"/>
          <w:kern w:val="0"/>
          <w:sz w:val="32"/>
          <w:szCs w:val="32"/>
        </w:rPr>
      </w:pPr>
      <w:r>
        <w:rPr>
          <w:rFonts w:hint="eastAsia" w:ascii="仿宋" w:hAnsi="仿宋" w:eastAsia="仿宋" w:cs="仿宋"/>
          <w:b/>
          <w:color w:val="000000"/>
          <w:kern w:val="0"/>
          <w:sz w:val="32"/>
          <w:szCs w:val="32"/>
        </w:rPr>
        <w:t>（一）评分原则</w:t>
      </w:r>
    </w:p>
    <w:p>
      <w:pPr>
        <w:autoSpaceDE w:val="0"/>
        <w:autoSpaceDN w:val="0"/>
        <w:adjustRightInd w:val="0"/>
        <w:ind w:firstLine="800" w:firstLineChars="2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1.每个构件每个岗位根据岗位内容评分，计算总分时进行折算。</w:t>
      </w:r>
    </w:p>
    <w:p>
      <w:pPr>
        <w:autoSpaceDE w:val="0"/>
        <w:autoSpaceDN w:val="0"/>
        <w:adjustRightInd w:val="0"/>
        <w:ind w:firstLine="800" w:firstLineChars="25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2.操作得分为加分制，按照工艺要求完成后加分。</w:t>
      </w:r>
    </w:p>
    <w:p>
      <w:pPr>
        <w:ind w:firstLine="800" w:firstLineChars="250"/>
        <w:rPr>
          <w:rFonts w:ascii="仿宋" w:hAnsi="仿宋" w:eastAsia="仿宋" w:cs="仿宋"/>
          <w:color w:val="000000"/>
          <w:kern w:val="0"/>
          <w:sz w:val="32"/>
          <w:szCs w:val="32"/>
        </w:rPr>
      </w:pPr>
      <w:r>
        <w:rPr>
          <w:rFonts w:hint="eastAsia" w:ascii="仿宋" w:hAnsi="仿宋" w:eastAsia="仿宋" w:cs="仿宋"/>
          <w:color w:val="000000"/>
          <w:kern w:val="0"/>
          <w:sz w:val="32"/>
          <w:szCs w:val="32"/>
        </w:rPr>
        <w:t>3.异常工况和工艺错误为减分制，每出现一次扣一次分。</w:t>
      </w:r>
    </w:p>
    <w:p>
      <w:pPr>
        <w:ind w:firstLine="482" w:firstLineChars="150"/>
        <w:rPr>
          <w:rFonts w:ascii="仿宋" w:hAnsi="仿宋" w:eastAsia="仿宋" w:cs="仿宋"/>
          <w:b/>
          <w:sz w:val="32"/>
          <w:szCs w:val="32"/>
        </w:rPr>
      </w:pPr>
      <w:r>
        <w:rPr>
          <w:rFonts w:hint="eastAsia" w:ascii="仿宋" w:hAnsi="仿宋" w:eastAsia="仿宋" w:cs="仿宋"/>
          <w:b/>
          <w:sz w:val="32"/>
          <w:szCs w:val="32"/>
        </w:rPr>
        <w:t>（二）模具准备评分项</w:t>
      </w:r>
    </w:p>
    <w:tbl>
      <w:tblPr>
        <w:tblStyle w:val="8"/>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12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129" w:type="dxa"/>
            <w:shd w:val="clear" w:color="auto" w:fill="auto"/>
            <w:vAlign w:val="center"/>
          </w:tcPr>
          <w:p>
            <w:pPr>
              <w:widowControl/>
              <w:jc w:val="center"/>
              <w:rPr>
                <w:rFonts w:ascii="仿宋" w:hAnsi="仿宋" w:eastAsia="仿宋" w:cs="仿宋"/>
                <w:b/>
                <w:kern w:val="0"/>
                <w:sz w:val="32"/>
                <w:szCs w:val="32"/>
              </w:rPr>
            </w:pPr>
            <w:r>
              <w:rPr>
                <w:rFonts w:hint="eastAsia" w:ascii="仿宋" w:hAnsi="仿宋" w:eastAsia="仿宋" w:cs="仿宋"/>
                <w:b/>
                <w:kern w:val="0"/>
                <w:sz w:val="32"/>
                <w:szCs w:val="32"/>
              </w:rPr>
              <w:t>序号</w:t>
            </w:r>
          </w:p>
        </w:tc>
        <w:tc>
          <w:tcPr>
            <w:tcW w:w="2127" w:type="dxa"/>
            <w:shd w:val="clear" w:color="auto" w:fill="auto"/>
            <w:vAlign w:val="center"/>
          </w:tcPr>
          <w:p>
            <w:pPr>
              <w:widowControl/>
              <w:jc w:val="center"/>
              <w:rPr>
                <w:rFonts w:ascii="仿宋" w:hAnsi="仿宋" w:eastAsia="仿宋" w:cs="仿宋"/>
                <w:b/>
                <w:kern w:val="0"/>
                <w:sz w:val="32"/>
                <w:szCs w:val="32"/>
              </w:rPr>
            </w:pPr>
            <w:r>
              <w:rPr>
                <w:rFonts w:hint="eastAsia" w:ascii="仿宋" w:hAnsi="仿宋" w:eastAsia="仿宋" w:cs="仿宋"/>
                <w:b/>
                <w:kern w:val="0"/>
                <w:sz w:val="32"/>
                <w:szCs w:val="32"/>
              </w:rPr>
              <w:t>评分名称</w:t>
            </w:r>
          </w:p>
        </w:tc>
        <w:tc>
          <w:tcPr>
            <w:tcW w:w="4677" w:type="dxa"/>
            <w:shd w:val="clear" w:color="auto" w:fill="auto"/>
            <w:vAlign w:val="center"/>
          </w:tcPr>
          <w:p>
            <w:pPr>
              <w:widowControl/>
              <w:jc w:val="center"/>
              <w:rPr>
                <w:rFonts w:ascii="仿宋" w:hAnsi="仿宋" w:eastAsia="仿宋" w:cs="仿宋"/>
                <w:b/>
                <w:kern w:val="0"/>
                <w:sz w:val="32"/>
                <w:szCs w:val="32"/>
              </w:rPr>
            </w:pPr>
            <w:r>
              <w:rPr>
                <w:rFonts w:hint="eastAsia" w:ascii="仿宋" w:hAnsi="仿宋" w:eastAsia="仿宋" w:cs="仿宋"/>
                <w:b/>
                <w:kern w:val="0"/>
                <w:sz w:val="32"/>
                <w:szCs w:val="32"/>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1</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准备工作</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服装选择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卫生检查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2</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模台划线机划线</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工序任务请求及领取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运送模台到划线机区域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录入图纸操作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进行划线操作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3</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模台喷涂脱模剂</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运送模台到喷油区域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添加脱模剂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喷油开关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开始喷油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4</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模具摆放</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进入摆模位置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领料（领取模具）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外叶模具摆放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外墙板内叶模具摆放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模具固定与模台初固定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模具固定与模台终固定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模具相互固定初固定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进行校正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模具相互固定终固定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磁盒将模具初固定模台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磁盒将模具终固定模台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涂刷脱模剂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请求空模台进入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摆放模具（2层）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进行校正（2层）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5</w:t>
            </w:r>
          </w:p>
        </w:tc>
        <w:tc>
          <w:tcPr>
            <w:tcW w:w="212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保温板摆放</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摆放保温板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6</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设备复位及结束任务</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复位划线机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复位喷油机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操作模台运送到下道工序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任务构件提交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7</w:t>
            </w:r>
          </w:p>
        </w:tc>
        <w:tc>
          <w:tcPr>
            <w:tcW w:w="212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工完料清</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工具归还、设备复位</w:t>
            </w:r>
          </w:p>
        </w:tc>
      </w:tr>
    </w:tbl>
    <w:p>
      <w:pPr>
        <w:autoSpaceDE w:val="0"/>
        <w:autoSpaceDN w:val="0"/>
        <w:adjustRightInd w:val="0"/>
        <w:ind w:firstLine="321" w:firstLineChars="1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（三）混凝土浇筑评分</w:t>
      </w:r>
    </w:p>
    <w:tbl>
      <w:tblPr>
        <w:tblStyle w:val="8"/>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12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129"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序号</w:t>
            </w:r>
          </w:p>
        </w:tc>
        <w:tc>
          <w:tcPr>
            <w:tcW w:w="212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评分名称</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1</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准备工作</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服装选择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卫生检查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2</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模台移动操作</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工序任务请求及领取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运输模台到布料机位置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模床轨道操作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任务构件提交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3</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布料机上料</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操作运料仓到搅拌站下料口接料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请求混凝土用量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运送混凝土至布料机上料位置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空中运输车下料到布料机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空中运输车翻转复位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4</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构件浇筑</w:t>
            </w: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 xml:space="preserve">构件混凝土浇筑量不足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构件混凝土浇筑严重超量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混凝土外浇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布料机移动不及时，造成构件内混凝土浇筑不均匀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对构件内混凝土未进行人工整平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构件混凝土浇筑超时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000000" w:fill="FFFFFF"/>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布料不及时，造成混凝土凝固浪费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5</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模床振捣</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模台下降控制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模台上升控制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勾紧固定模台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松开勾紧模台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构件振捣控制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停止构件振捣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6</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保温板及内叶模具摆放</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保温板铺设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摆放拉结件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吊用摆放外墙内页模具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固定外墙内页模具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7</w:t>
            </w:r>
          </w:p>
        </w:tc>
        <w:tc>
          <w:tcPr>
            <w:tcW w:w="2127"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工完料清</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归还工具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 xml:space="preserve">清洗布料机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29" w:type="dxa"/>
            <w:vMerge w:val="continue"/>
            <w:vAlign w:val="center"/>
          </w:tcPr>
          <w:p>
            <w:pPr>
              <w:widowControl/>
              <w:jc w:val="left"/>
              <w:rPr>
                <w:rFonts w:ascii="仿宋" w:hAnsi="仿宋" w:eastAsia="仿宋" w:cs="仿宋"/>
                <w:kern w:val="0"/>
                <w:sz w:val="32"/>
                <w:szCs w:val="32"/>
              </w:rPr>
            </w:pPr>
          </w:p>
        </w:tc>
        <w:tc>
          <w:tcPr>
            <w:tcW w:w="2127"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检查模床辊道是否复位</w:t>
            </w:r>
          </w:p>
        </w:tc>
      </w:tr>
    </w:tbl>
    <w:p>
      <w:pPr>
        <w:ind w:firstLine="321" w:firstLineChars="100"/>
        <w:rPr>
          <w:rFonts w:ascii="仿宋" w:hAnsi="仿宋" w:eastAsia="仿宋" w:cs="仿宋"/>
          <w:b/>
          <w:sz w:val="32"/>
          <w:szCs w:val="32"/>
        </w:rPr>
      </w:pPr>
      <w:r>
        <w:rPr>
          <w:rFonts w:hint="eastAsia" w:ascii="仿宋" w:hAnsi="仿宋" w:eastAsia="仿宋" w:cs="仿宋"/>
          <w:b/>
          <w:sz w:val="32"/>
          <w:szCs w:val="32"/>
        </w:rPr>
        <w:t>（四）构件吊装</w:t>
      </w:r>
    </w:p>
    <w:tbl>
      <w:tblPr>
        <w:tblStyle w:val="8"/>
        <w:tblW w:w="7933" w:type="dxa"/>
        <w:jc w:val="center"/>
        <w:tblInd w:w="0" w:type="dxa"/>
        <w:tblLayout w:type="fixed"/>
        <w:tblCellMar>
          <w:top w:w="0" w:type="dxa"/>
          <w:left w:w="108" w:type="dxa"/>
          <w:bottom w:w="0" w:type="dxa"/>
          <w:right w:w="108" w:type="dxa"/>
        </w:tblCellMar>
      </w:tblPr>
      <w:tblGrid>
        <w:gridCol w:w="1271"/>
        <w:gridCol w:w="1985"/>
        <w:gridCol w:w="4677"/>
      </w:tblGrid>
      <w:tr>
        <w:tblPrEx>
          <w:tblLayout w:type="fixed"/>
          <w:tblCellMar>
            <w:top w:w="0" w:type="dxa"/>
            <w:left w:w="108" w:type="dxa"/>
            <w:bottom w:w="0" w:type="dxa"/>
            <w:right w:w="108" w:type="dxa"/>
          </w:tblCellMar>
        </w:tblPrEx>
        <w:trPr>
          <w:trHeight w:val="439"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序号</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评分名称</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评分内容</w:t>
            </w:r>
          </w:p>
        </w:tc>
      </w:tr>
      <w:tr>
        <w:tblPrEx>
          <w:tblLayout w:type="fixed"/>
          <w:tblCellMar>
            <w:top w:w="0" w:type="dxa"/>
            <w:left w:w="108" w:type="dxa"/>
            <w:bottom w:w="0" w:type="dxa"/>
            <w:right w:w="108" w:type="dxa"/>
          </w:tblCellMar>
        </w:tblPrEx>
        <w:trPr>
          <w:trHeight w:val="353" w:hRule="atLeast"/>
          <w:jc w:val="center"/>
        </w:trPr>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1</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准备工作</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服装选择</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卫生检查</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设备检查</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注意事项</w:t>
            </w:r>
          </w:p>
        </w:tc>
      </w:tr>
      <w:tr>
        <w:tblPrEx>
          <w:tblLayout w:type="fixed"/>
          <w:tblCellMar>
            <w:top w:w="0" w:type="dxa"/>
            <w:left w:w="108" w:type="dxa"/>
            <w:bottom w:w="0" w:type="dxa"/>
            <w:right w:w="108" w:type="dxa"/>
          </w:tblCellMar>
        </w:tblPrEx>
        <w:trPr>
          <w:trHeight w:val="353" w:hRule="atLeast"/>
          <w:jc w:val="center"/>
        </w:trPr>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2</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吊具准备</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起重设备选择</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起重设备位置选择</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吊具类型选择</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吊点选择</w:t>
            </w:r>
          </w:p>
        </w:tc>
      </w:tr>
      <w:tr>
        <w:tblPrEx>
          <w:tblLayout w:type="fixed"/>
          <w:tblCellMar>
            <w:top w:w="0" w:type="dxa"/>
            <w:left w:w="108" w:type="dxa"/>
            <w:bottom w:w="0" w:type="dxa"/>
            <w:right w:w="108" w:type="dxa"/>
          </w:tblCellMar>
        </w:tblPrEx>
        <w:trPr>
          <w:trHeight w:val="353" w:hRule="atLeast"/>
          <w:jc w:val="center"/>
        </w:trPr>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3</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现场准备</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放置垫块</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垫块测量</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划线</w:t>
            </w:r>
          </w:p>
        </w:tc>
      </w:tr>
      <w:tr>
        <w:tblPrEx>
          <w:tblLayout w:type="fixed"/>
          <w:tblCellMar>
            <w:top w:w="0" w:type="dxa"/>
            <w:left w:w="108" w:type="dxa"/>
            <w:bottom w:w="0" w:type="dxa"/>
            <w:right w:w="108" w:type="dxa"/>
          </w:tblCellMar>
        </w:tblPrEx>
        <w:trPr>
          <w:trHeight w:val="353" w:hRule="atLeast"/>
          <w:jc w:val="center"/>
        </w:trPr>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4</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吊装位置</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墙体位置调整（xyz位置）</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墙体位置调整（xyz角度）</w:t>
            </w:r>
          </w:p>
        </w:tc>
      </w:tr>
      <w:tr>
        <w:tblPrEx>
          <w:tblLayout w:type="fixed"/>
          <w:tblCellMar>
            <w:top w:w="0" w:type="dxa"/>
            <w:left w:w="108" w:type="dxa"/>
            <w:bottom w:w="0" w:type="dxa"/>
            <w:right w:w="108" w:type="dxa"/>
          </w:tblCellMar>
        </w:tblPrEx>
        <w:trPr>
          <w:trHeight w:val="353"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5</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墙板固定</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支撑固定</w:t>
            </w:r>
          </w:p>
        </w:tc>
      </w:tr>
      <w:tr>
        <w:tblPrEx>
          <w:tblLayout w:type="fixed"/>
          <w:tblCellMar>
            <w:top w:w="0" w:type="dxa"/>
            <w:left w:w="108" w:type="dxa"/>
            <w:bottom w:w="0" w:type="dxa"/>
            <w:right w:w="108" w:type="dxa"/>
          </w:tblCellMar>
        </w:tblPrEx>
        <w:trPr>
          <w:trHeight w:val="353"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6</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墙体垂直度调整</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墙体垂直度调整</w:t>
            </w:r>
          </w:p>
        </w:tc>
      </w:tr>
      <w:tr>
        <w:tblPrEx>
          <w:tblLayout w:type="fixed"/>
          <w:tblCellMar>
            <w:top w:w="0" w:type="dxa"/>
            <w:left w:w="108" w:type="dxa"/>
            <w:bottom w:w="0" w:type="dxa"/>
            <w:right w:w="108" w:type="dxa"/>
          </w:tblCellMar>
        </w:tblPrEx>
        <w:trPr>
          <w:trHeight w:val="353" w:hRule="atLeast"/>
          <w:jc w:val="center"/>
        </w:trPr>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7</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工完料清</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归还工具</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设备维护</w:t>
            </w:r>
          </w:p>
        </w:tc>
      </w:tr>
      <w:tr>
        <w:tblPrEx>
          <w:tblLayout w:type="fixed"/>
          <w:tblCellMar>
            <w:top w:w="0" w:type="dxa"/>
            <w:left w:w="108" w:type="dxa"/>
            <w:bottom w:w="0" w:type="dxa"/>
            <w:right w:w="108" w:type="dxa"/>
          </w:tblCellMar>
        </w:tblPrEx>
        <w:trPr>
          <w:trHeight w:val="353" w:hRule="atLeast"/>
          <w:jc w:val="center"/>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32"/>
                <w:szCs w:val="32"/>
              </w:rPr>
            </w:pP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清理垃圾</w:t>
            </w:r>
          </w:p>
        </w:tc>
      </w:tr>
      <w:tr>
        <w:tblPrEx>
          <w:tblLayout w:type="fixed"/>
          <w:tblCellMar>
            <w:top w:w="0" w:type="dxa"/>
            <w:left w:w="108" w:type="dxa"/>
            <w:bottom w:w="0" w:type="dxa"/>
            <w:right w:w="108" w:type="dxa"/>
          </w:tblCellMar>
        </w:tblPrEx>
        <w:trPr>
          <w:trHeight w:val="1080"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8</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异常操作扣分</w:t>
            </w:r>
          </w:p>
        </w:tc>
        <w:tc>
          <w:tcPr>
            <w:tcW w:w="467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32"/>
                <w:szCs w:val="32"/>
              </w:rPr>
            </w:pPr>
            <w:r>
              <w:rPr>
                <w:rFonts w:hint="eastAsia" w:ascii="仿宋" w:hAnsi="仿宋" w:eastAsia="仿宋" w:cs="仿宋"/>
                <w:kern w:val="0"/>
                <w:sz w:val="32"/>
                <w:szCs w:val="32"/>
              </w:rPr>
              <w:t>构件调运过程中与建筑物碰撞、吊装机具选择错误、塔机异常操作</w:t>
            </w:r>
          </w:p>
        </w:tc>
      </w:tr>
    </w:tbl>
    <w:p>
      <w:pPr>
        <w:ind w:firstLine="321" w:firstLineChars="100"/>
        <w:rPr>
          <w:rFonts w:ascii="仿宋" w:hAnsi="仿宋" w:eastAsia="仿宋" w:cs="仿宋"/>
          <w:b/>
          <w:sz w:val="32"/>
          <w:szCs w:val="32"/>
        </w:rPr>
      </w:pPr>
      <w:r>
        <w:rPr>
          <w:rFonts w:hint="eastAsia" w:ascii="仿宋" w:hAnsi="仿宋" w:eastAsia="仿宋" w:cs="仿宋"/>
          <w:b/>
          <w:sz w:val="32"/>
          <w:szCs w:val="32"/>
        </w:rPr>
        <w:t>（五）构件连接评分</w:t>
      </w:r>
    </w:p>
    <w:tbl>
      <w:tblPr>
        <w:tblStyle w:val="8"/>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990"/>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1266"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序号</w:t>
            </w:r>
          </w:p>
        </w:tc>
        <w:tc>
          <w:tcPr>
            <w:tcW w:w="1990"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评分名称</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1</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准备工作</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服装选择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卫生检查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设备检查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人员素质要求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2</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配料前准备</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领取工具操作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shd w:val="clear" w:color="auto" w:fill="auto"/>
            <w:vAlign w:val="center"/>
          </w:tcPr>
          <w:p>
            <w:pPr>
              <w:widowControl/>
              <w:jc w:val="center"/>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室温测量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3</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配置封缝料</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配坐浆料加入水操作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配坐浆料加入坐浆料操作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配坐浆料加入水泥操作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配坐浆料加入沙子操作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 xml:space="preserve">配坐浆料搅拌操作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检查颗粒操作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配坐浆料加入冰或者水操作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配坐浆料搅拌操作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配坐浆料静置操作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检查气泡操作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配坐浆料比例是否正确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4</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配置灌浆料</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配灌浆料加水操作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配灌浆料加入灌浆料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配灌浆料搅拌操作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配灌浆料颗粒检查操作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配灌浆料加入冰或者水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配灌浆料搅拌操作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配灌浆料静置操作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配灌浆料检查气泡操作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配灌浆料比例是否正确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5</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灌浆料流动度检查</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放置玻璃板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放置流动测试仪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放置料浆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移开流动测试仪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测量流动度操作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vAlign w:val="center"/>
          </w:tcPr>
          <w:p>
            <w:pPr>
              <w:widowControl/>
              <w:jc w:val="left"/>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检查料浆温度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6</w:t>
            </w:r>
          </w:p>
        </w:tc>
        <w:tc>
          <w:tcPr>
            <w:tcW w:w="1990" w:type="dxa"/>
            <w:vMerge w:val="restart"/>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封缝灌浆</w:t>
            </w: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封缝操作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shd w:val="clear" w:color="auto" w:fill="auto"/>
            <w:vAlign w:val="center"/>
          </w:tcPr>
          <w:p>
            <w:pPr>
              <w:widowControl/>
              <w:jc w:val="center"/>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左侧灌浆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66" w:type="dxa"/>
            <w:vMerge w:val="continue"/>
            <w:shd w:val="clear" w:color="auto" w:fill="auto"/>
            <w:vAlign w:val="center"/>
          </w:tcPr>
          <w:p>
            <w:pPr>
              <w:widowControl/>
              <w:jc w:val="center"/>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右侧灌浆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266" w:type="dxa"/>
            <w:vMerge w:val="continue"/>
            <w:shd w:val="clear" w:color="auto" w:fill="auto"/>
            <w:vAlign w:val="center"/>
          </w:tcPr>
          <w:p>
            <w:pPr>
              <w:widowControl/>
              <w:jc w:val="center"/>
              <w:rPr>
                <w:rFonts w:ascii="仿宋" w:hAnsi="仿宋" w:eastAsia="仿宋" w:cs="仿宋"/>
                <w:kern w:val="0"/>
                <w:sz w:val="32"/>
                <w:szCs w:val="32"/>
              </w:rPr>
            </w:pPr>
          </w:p>
        </w:tc>
        <w:tc>
          <w:tcPr>
            <w:tcW w:w="1990" w:type="dxa"/>
            <w:vMerge w:val="continue"/>
            <w:vAlign w:val="center"/>
          </w:tcPr>
          <w:p>
            <w:pPr>
              <w:widowControl/>
              <w:jc w:val="left"/>
              <w:rPr>
                <w:rFonts w:ascii="仿宋" w:hAnsi="仿宋" w:eastAsia="仿宋" w:cs="仿宋"/>
                <w:kern w:val="0"/>
                <w:sz w:val="32"/>
                <w:szCs w:val="32"/>
              </w:rPr>
            </w:pPr>
          </w:p>
        </w:tc>
        <w:tc>
          <w:tcPr>
            <w:tcW w:w="4677"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所有胶塞错误（过早、过晚）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266"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7</w:t>
            </w:r>
          </w:p>
        </w:tc>
        <w:tc>
          <w:tcPr>
            <w:tcW w:w="1990" w:type="dxa"/>
            <w:shd w:val="clear" w:color="auto" w:fill="auto"/>
            <w:vAlign w:val="center"/>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工完料清</w:t>
            </w:r>
          </w:p>
        </w:tc>
        <w:tc>
          <w:tcPr>
            <w:tcW w:w="4677" w:type="dxa"/>
            <w:shd w:val="clear" w:color="auto" w:fill="auto"/>
            <w:vAlign w:val="bottom"/>
          </w:tcPr>
          <w:p>
            <w:pPr>
              <w:widowControl/>
              <w:jc w:val="center"/>
              <w:rPr>
                <w:rFonts w:ascii="仿宋" w:hAnsi="仿宋" w:eastAsia="仿宋" w:cs="仿宋"/>
                <w:kern w:val="0"/>
                <w:sz w:val="32"/>
                <w:szCs w:val="32"/>
              </w:rPr>
            </w:pPr>
            <w:r>
              <w:rPr>
                <w:rFonts w:hint="eastAsia" w:ascii="仿宋" w:hAnsi="仿宋" w:eastAsia="仿宋" w:cs="仿宋"/>
                <w:kern w:val="0"/>
                <w:sz w:val="32"/>
                <w:szCs w:val="32"/>
              </w:rPr>
              <w:t>归还工具</w:t>
            </w:r>
          </w:p>
        </w:tc>
      </w:tr>
    </w:tbl>
    <w:p>
      <w:pPr>
        <w:rPr>
          <w:rFonts w:ascii="仿宋" w:hAnsi="仿宋" w:eastAsia="仿宋" w:cs="仿宋"/>
          <w:b/>
          <w:sz w:val="32"/>
          <w:szCs w:val="32"/>
        </w:rPr>
      </w:pPr>
    </w:p>
    <w:p>
      <w:pPr>
        <w:ind w:firstLine="643" w:firstLineChars="200"/>
        <w:rPr>
          <w:rFonts w:ascii="仿宋" w:hAnsi="仿宋" w:eastAsia="仿宋" w:cs="仿宋"/>
          <w:b/>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7197030"/>
    </w:sdtPr>
    <w:sdtContent>
      <w:sdt>
        <w:sdtPr>
          <w:id w:val="-1705238520"/>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22</w:t>
            </w:r>
            <w:r>
              <w:rPr>
                <w:b/>
                <w:bCs/>
                <w:sz w:val="24"/>
                <w:szCs w:val="24"/>
              </w:rPr>
              <w:fldChar w:fldCharType="end"/>
            </w:r>
          </w:p>
        </w:sdtContent>
      </w:sdt>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A5C25"/>
    <w:multiLevelType w:val="multilevel"/>
    <w:tmpl w:val="2A1A5C25"/>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38"/>
    <w:rsid w:val="00084BA2"/>
    <w:rsid w:val="00086BC7"/>
    <w:rsid w:val="00236DB3"/>
    <w:rsid w:val="002A3D4E"/>
    <w:rsid w:val="002B4124"/>
    <w:rsid w:val="00363038"/>
    <w:rsid w:val="003B39A2"/>
    <w:rsid w:val="00461D0E"/>
    <w:rsid w:val="004F3A5C"/>
    <w:rsid w:val="0051144C"/>
    <w:rsid w:val="0057023D"/>
    <w:rsid w:val="00590D21"/>
    <w:rsid w:val="00595F3C"/>
    <w:rsid w:val="00737D87"/>
    <w:rsid w:val="007A5152"/>
    <w:rsid w:val="008A4293"/>
    <w:rsid w:val="009503A3"/>
    <w:rsid w:val="00963CF3"/>
    <w:rsid w:val="009D733D"/>
    <w:rsid w:val="00A24468"/>
    <w:rsid w:val="00AD3256"/>
    <w:rsid w:val="00AF64BB"/>
    <w:rsid w:val="00B01FA7"/>
    <w:rsid w:val="00B374BD"/>
    <w:rsid w:val="00B56599"/>
    <w:rsid w:val="00D42B8C"/>
    <w:rsid w:val="00D842DD"/>
    <w:rsid w:val="00E14086"/>
    <w:rsid w:val="00EE18C0"/>
    <w:rsid w:val="00F14CAF"/>
    <w:rsid w:val="00F87673"/>
    <w:rsid w:val="00FA664B"/>
    <w:rsid w:val="00FB3485"/>
    <w:rsid w:val="582D78C4"/>
    <w:rsid w:val="58D92368"/>
    <w:rsid w:val="78835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4"/>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7">
    <w:name w:val="annotation reference"/>
    <w:basedOn w:val="6"/>
    <w:semiHidden/>
    <w:unhideWhenUsed/>
    <w:qFormat/>
    <w:uiPriority w:val="99"/>
    <w:rPr>
      <w:sz w:val="21"/>
      <w:szCs w:val="21"/>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6"/>
    <w:link w:val="5"/>
    <w:uiPriority w:val="99"/>
    <w:rPr>
      <w:sz w:val="18"/>
      <w:szCs w:val="18"/>
    </w:rPr>
  </w:style>
  <w:style w:type="character" w:customStyle="1" w:styleId="11">
    <w:name w:val="页脚 Char"/>
    <w:basedOn w:val="6"/>
    <w:link w:val="4"/>
    <w:uiPriority w:val="99"/>
    <w:rPr>
      <w:sz w:val="18"/>
      <w:szCs w:val="18"/>
    </w:rPr>
  </w:style>
  <w:style w:type="paragraph" w:styleId="12">
    <w:name w:val="List Paragraph"/>
    <w:basedOn w:val="1"/>
    <w:qFormat/>
    <w:uiPriority w:val="34"/>
    <w:pPr>
      <w:ind w:firstLine="420" w:firstLineChars="200"/>
    </w:pPr>
  </w:style>
  <w:style w:type="paragraph" w:customStyle="1" w:styleId="1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14">
    <w:name w:val="批注文字 Char"/>
    <w:basedOn w:val="6"/>
    <w:link w:val="2"/>
    <w:qFormat/>
    <w:uiPriority w:val="99"/>
  </w:style>
  <w:style w:type="character" w:customStyle="1" w:styleId="15">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1038</Words>
  <Characters>5918</Characters>
  <Lines>49</Lines>
  <Paragraphs>13</Paragraphs>
  <TotalTime>61</TotalTime>
  <ScaleCrop>false</ScaleCrop>
  <LinksUpToDate>false</LinksUpToDate>
  <CharactersWithSpaces>6943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2018-12-24T14:20:00Z</dcterms:created>
  <dc:creator>Microsoft</dc:creator>
  <cp:lastModifiedBy>Administrator</cp:lastModifiedBy>
  <cp:lastPrinted>2019-01-03T04:33:00Z</cp:lastPrinted>
  <dcterms:modified xsi:type="dcterms:W3CDTF">2019-01-03T09:24:25Z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